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329 vom 10. Mai 2016</w:t>
      </w:r>
    </w:p>
    <w:p>
      <w:r>
        <w:t>VD Tribunal cantonal, 2016-05-10, FR</w:t>
      </w:r>
    </w:p>
    <w:p>
      <w:r>
        <w:rPr>
          <w:b/>
        </w:rPr>
        <w:t xml:space="preserve">Quelle: </w:t>
      </w:r>
      <w:r>
        <w:t>https://mcp.opencaselaw.ch/entscheid/vd_findinfo_D_cision___2016___329</w:t>
      </w:r>
    </w:p>
    <w:p>
      <w:r>
        <w:t>FR: VD_FINDINFO Décision / 2016 / 329 du 10 mai 2016</w:t>
      </w:r>
    </w:p>
    <w:p>
      <w:r>
        <w:t>IT: VD_FINDINFO Décision / 2016 / 329 del 10 maggio 2016</w:t>
      </w:r>
    </w:p>
    <w:p>
      <w:pPr>
        <w:pStyle w:val="Heading2"/>
      </w:pPr>
      <w:r>
        <w:t>Regeste</w:t>
      </w:r>
    </w:p>
    <w:p>
      <w:r>
        <w:t>ADMISSION DE LA DEMANDE, SUPPRESSION{EN GÉNÉRAL}, SÉQUESTRE{MESURE PROVISIONNELLE} | 263 al. 1 let. c CPP (CH), 267 al. 1 CPP (CH), 393 al. 1 let. a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 Parein-Reymond, Petit commentaire du Code de procédure pénale, Bâle 2013, n. 24 ad art. 263 CPP ; Lembo/Julen Berthod, in : Kuhn/Jeanneret [éd.], Commentaire romand, Code de procédure pénale suisse, Bâle 2011, n. 4 ad art. 267 CPP ; CREP 20 janvier 2015/55 ; CREP 16 janvier 2015/32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recours a été interjeté dans le délai légal auprès de l’autorité compétente, par l'ayant droit des biens objets du séquestre, qui a qualité pour recourir (art. 382 al. 1 CPP), et dans les formes prescrites (art. 385 al. 1 CPP), de sorte qu’il est recevable.</w:t>
      </w:r>
    </w:p>
    <w:p>
      <w:r>
        <w:rPr>
          <w:b/>
        </w:rPr>
        <w:t>E. 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Si le motif de séquestre disparaît, le ministère public ou le tribunal lève la mesure et restitue les objets et valeurs patrimoniales à l’ayant droit (art. 267 al. 1 CPP). Le séquestre est une mesure provisoire qu’il convient de lever dès que les conditions de sa mise en œuvre ne sont plus réalisées. Tel sera notamment le cas si le but pour lequel le séquestre a été ordonné a disparu. Dans le cas où il apparaît que le possesseur n’a manifestement aucun droit sur la chose, il appartient à l’autorité de corriger la situation et de restituer la chose au véritable ayant droit (Moreillon/Parein-Reymond, op. cit. nn. 2 ss ad art. 267 CPP).</w:t>
      </w:r>
    </w:p>
    <w:p>
      <w:r>
        <w:rPr>
          <w:b/>
        </w:rPr>
        <w:t>E. 2.2</w:t>
      </w:r>
    </w:p>
    <w:p>
      <w:r>
        <w:t>En l’espèce, C.________ conclut à la levée du séquestre portant sur les coffres-forts n o 7577 et n o 7748 ouverts auprès de la banque UBS SA à Lausanne dans lesquels se trouvent des montres qui lui ont été léguées par feu B.F.________. A.F.________, unique héritière de feu B.F.________, ne conteste pas les disposi­tions testamentaires de ce dernier qui font de C.________ le seul légataire des montres du défunt. La prévenue n’a au surplus formulé aucune objection à la levée de ce séquestre. Le Ministère public estime quant à lui que le recours paraît fondé. Partant, les conditions du maintien du séquestre n’apparaissant plus réunies, il y a lieu de lever le séquestre portant sur les coffres-forts n o 7577 et n o 7748 en application de l’art. 267 al. 1 CPP.</w:t>
      </w:r>
    </w:p>
    <w:p>
      <w:r>
        <w:rPr>
          <w:b/>
        </w:rPr>
        <w:t>E. 3</w:t>
      </w:r>
    </w:p>
    <w:p>
      <w:r>
        <w:t>Le recours interjeté par C.________ doit être admis et le séquestre sur les coffres-forts n o 7577 et n o 7748 ouverts auprès de la banque UBS SA à Lausanne doit être levé. Les frais de la procédure de recours, constitués en l’espèce de l’émolument d'arrêt, par 660 fr. (art. 20 al. 1 TFIP [Tarif des frais de procédure et indemnités en matière pénale du 28 septembre 2010 ; RSV 312.03.1]), seront laissés à la charge de l’Etat (art. 423 al. 1 CPP). Par ces motifs, la Chambre des recours pénale prononce : I. Le recours est admis. II. Le séquestre ordonné le 30 septembre 2015 sur les coffres-forts n o 7577 et n o 7748 ouverts auprès de la banque UBS SA à Lausanne est levé. III. Les frais d’arrêt, par 660 fr. ( six cent soixante francs), sont laissés à la charge de l’Etat. IV. L’arrêt est exécutoire. Le président :               La greffière : Du Le présent arrêt, dont la rédaction a été approuvée à huis clos, est notifié, par l'envoi d'une copie complète, à : - Me Guerric Canonica (pour C.________), - Me Filippo Ryter (pour A.F.________),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