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323 vom 19. April 2016</w:t>
      </w:r>
    </w:p>
    <w:p>
      <w:r>
        <w:t>VD Tribunal cantonal, 2016-04-19, FR</w:t>
      </w:r>
    </w:p>
    <w:p>
      <w:r>
        <w:rPr>
          <w:b/>
        </w:rPr>
        <w:t xml:space="preserve">Quelle: </w:t>
      </w:r>
      <w:r>
        <w:t>https://mcp.opencaselaw.ch/entscheid/vd_findinfo_D_cision___2016___323</w:t>
      </w:r>
    </w:p>
    <w:p>
      <w:r>
        <w:t>FR: VD_FINDINFO Décision / 2016 / 323 du 19 avril 2016</w:t>
      </w:r>
    </w:p>
    <w:p>
      <w:r>
        <w:t>IT: VD_FINDINFO Décision / 2016 / 323 del 19 aprile 2016</w:t>
      </w:r>
    </w:p>
    <w:p>
      <w:pPr>
        <w:pStyle w:val="Heading2"/>
      </w:pPr>
      <w:r>
        <w:t>Regeste</w:t>
      </w:r>
    </w:p>
    <w:p>
      <w:r>
        <w:t>DROIT D'ÊTRE ENTENDU, CLASSEMENT DE LA PROCÉDURE | 29 al. 2 Cst., 310 CPP (CH), 393 al. 1 let. a CPP (CH)</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Le droit d'être entendu, tel qu'il est garanti par l'art. 29 al. 2 Cst. (Constitution fédérale du 18 avril 1999, RS 101) et, en procédure pénale, par l'art.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(TF 1B_526/2012 consid. 2.1 ; ATF 133 I 270 consid. 3.1 ; ATF 126 I 15 consid. 2a/aa ; ATF 124 I 49 consid. 3a).</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w:t>
      </w:r>
    </w:p>
    <w:p>
      <w:r>
        <w:rPr>
          <w:b/>
        </w:rPr>
        <w:t>E. 2.2</w:t>
      </w:r>
    </w:p>
    <w:p>
      <w:r>
        <w:t>Le recourant invoque d’abord une violation de son droit d’être entendu. Il soutient qu’il n’a pas été entendu par le procureur et qu’il n’a pas pu produire les preuves en sa possession concernant l’agression. En l’occurrence, le recourant s’est en premier lieu exprimé par le dépôt de sa plainte, dans laquelle il a pu exposer l’intégralité de ses soupçons. Dès lors que le Ministère public a refusé d'entrer en matière, l'art. 318 CPP (droit du plaignant de présenter des réquisitions) ne pouvait s'appliquer. Dans un tel cas, le droit de proposer des preuves complémentaires doit s'exercer au moyen du recours contre l'ordonnance de non-entrée en matière. Le droit d'être entendu du recourant n'a par conséquent pas été violé.</w:t>
      </w:r>
    </w:p>
    <w:p>
      <w:r>
        <w:rPr>
          <w:b/>
        </w:rPr>
        <w:t>E. 2.3</w:t>
      </w:r>
    </w:p>
    <w:p>
      <w:r>
        <w:t>Le recourant soutient ensuite que le constat médical figurant au dossier constitue la preuve de son agression. Il estime en outre que sa fille de dix ans, qui aurait assisté à cette agression, devrait être entendue. En l’espèce, contrairement à ce que soutient le recourant, aucun certificat médical ne figure au dossier. L’intéressé n’a d’ailleurs produit aucune pièce. Quant à une éventuelle audition de l’enfant de dix ans, elle n’est pas envisageable. En effet, la fillette serait confrontée à un conflit de loyauté entre ses parents et il lui serait impossible de s’exprimer librement (cf. art. 154 al. 4 let. a CPP). Pour le surplus, on ne peut que constater que, comme l’a retenu le Ministère public, les versions des parties sont irrémédiablement contradictoires. En effet, aucun indice concret ne permet d’accréditer la version des faits du recourant. En particulier, [...], entendue par la police le 2 décembre 2015 en qualité de personne appelée à donner des renseignements, a déclaré qu’elle avait entendu les parties crier, mais qu’elle ne se souvenait plus de ce qu’elles s’étaient dit. Elle a ajouté qu’il n’y avait eu aucun échange de coups (PV aud. 4, p. 2, R 5, 6 et 8).</w:t>
      </w:r>
    </w:p>
    <w:p>
      <w:r>
        <w:rPr>
          <w:b/>
        </w:rPr>
        <w:t>E. 2.4</w:t>
      </w:r>
    </w:p>
    <w:p>
      <w:r>
        <w:t>Il découle de ce qui précède que les soupçons contre M.________ et contre L.________ sont insuffisants pour ordonner l’ouverture d’une instruction pénale. Les conditions posées par l’art. 310 al. 1 let. a CPP étant réunies, c’est à bon droit que le procureur a  rendu une ordonnance de non-entrée en matière.</w:t>
      </w:r>
    </w:p>
    <w:p>
      <w:r>
        <w:rPr>
          <w:b/>
        </w:rPr>
        <w:t>E. 3</w:t>
      </w:r>
    </w:p>
    <w:p>
      <w:r>
        <w:t>En définitive, le recours, manifestement mal fondé, doit être rejeté, sans autres échanges d’écritures (art. 390 al. 2 CPP), et l’ordonnance attaquée confirmée. Alléguant une situation d’indigence, le recourant a requis l’assistance judiciaire gratuite pour les frais de la procédure de recours. Cette requête sera rejetée dès lors que le recours était d'emblée dénué de chance de succès (art. 136 al. 1 let. b CPP ; CREP 6 novembre 2015/718). Les frais de la procédure de recours, constitués en l’espèce du seul émolument d’arrêt (art. 422 al. 1 CPP), par 660 fr. (art. 20 al. 1 TFIP [Tarif des frais de procédure et indemnités en matière pénale du 28 septembre 2010 ; RSV 312.03.1]), seront mis à la charge de Z.________, qui succombe (art. 428 al. 1 CPP). Par ces motifs, la Chambre des recours pénale prononce : I. Le recours est rejeté. II. L’ordonnance du 5 février 2016 est confirmée. III. La requête d’assistance judiciaire gratuite est rejetée. IV. Les frais d’arrêt, par 660 fr. (six cent soixante francs), sont mis à la charge de Z.________. V. L’arrêt est exécutoire. Le président :               La greffière : Du Le présent arrêt, dont la rédaction a été approuvée à huis clos, est notifié, par l'envoi d'une copie complète, à : - Me Xavier Oulevey, avocat (pour M.________), - M. Z.________, - Mme L.________,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