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322 vom 24. März 2016</w:t>
      </w:r>
    </w:p>
    <w:p>
      <w:r>
        <w:t>VD Tribunal cantonal, 2016-03-24, FR</w:t>
      </w:r>
    </w:p>
    <w:p>
      <w:r>
        <w:rPr>
          <w:b/>
        </w:rPr>
        <w:t xml:space="preserve">Quelle: </w:t>
      </w:r>
      <w:r>
        <w:t>https://mcp.opencaselaw.ch/entscheid/vd_findinfo_D_cision___2016___322</w:t>
      </w:r>
    </w:p>
    <w:p>
      <w:r>
        <w:t>FR: VD_FINDINFO Décision / 2016 / 322 du 24 mars 2016</w:t>
      </w:r>
    </w:p>
    <w:p>
      <w:r>
        <w:t>IT: VD_FINDINFO Décision / 2016 / 322 del 24 marzo 2016</w:t>
      </w:r>
    </w:p>
    <w:p>
      <w:pPr>
        <w:pStyle w:val="Heading2"/>
      </w:pPr>
      <w:r>
        <w:t>Regeste</w:t>
      </w:r>
    </w:p>
    <w:p>
      <w:r>
        <w:t>CLASSEMENT DE LA PROCÉDURE, GESTION FAUTIVE, DÉTRIMENT DES CRÉANCIERS, DÉBITEUR | 165 CP, 167 CP, 323 ch. 2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Interjeté dans le délai légal auprès de l’autorité compétente par la partie plaignante, qui a la qualité pour recourir (cf. art. 382 al. 1), et satisfaisant aux conditions de forme posées par la loi (cf. art. 385 al. 1 CPP), le recours est recevable.</w:t>
      </w:r>
    </w:p>
    <w:p>
      <w:r>
        <w:rPr>
          <w:b/>
        </w:rPr>
        <w:t>E. 2.1</w:t>
      </w:r>
    </w:p>
    <w:p>
      <w:r>
        <w:t>Le recourant ne conteste pas le classement sur la contravention d’inobservation par le débiteur des règles de la procédure pour dettes ou de faillite (art. 323 CP). Il soutient en revanche que l’enquête aurait révélé des indices qui justifieraient la mise en accusation de N.________ pour gestion fautive (art. 165 CP) et avantages accordés à certains créanciers (art. 167 CP).</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w:t>
      </w:r>
    </w:p>
    <w:p>
      <w:r>
        <w:rPr>
          <w:b/>
        </w:rPr>
        <w:t>E. 2.3</w:t>
      </w:r>
    </w:p>
    <w:p>
      <w:r>
        <w:t>Aux termes de l’art. 165 ch. 1 CP, le débiteur qui, de manières autres que celles visées à l'art. 164 CP, aura,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causé ou aggravé son surendettement, causé sa propre insolvabilité ou aggravé sa situation alors qu'il se savait insolvable, sera, s'il a été déclaré en faillite ou si un acte de défaut de biens a été dressé contre lui, puni d'une peine privative de liberté de cinq ans au plus ou d'une peine pécuniaire. L'art. 165 ch. 1 CP, pris dans son ensemble, ne laisse planer aucun doute sur le fait que tombe sous le coup de cette disposition quiconque aura commis un acte prévu par le texte légal, dès lors que cet acte est propre, ce que l'auteur doit savoir, à contribuer à causer l'insolvabilité ou à aggraver une insolvabilité qui existait déjà. Quant à l'insolvabilité, il suffit que l'auteur l'ait causée ou favorisée par une négligence grave, l'intention de la provoquer n'étant pas nécessaire. Il découle de la structure et de la fonction de l'art. 165 ch. 1 CP que sont réprimés celui qui connaissait le risque d'insolvabilité et a consciemment pris ce risque, ou celui qui en a nié l'existence de façon irresponsable; il y a légèreté coupable lorsque, par un comportement fautif, l'auteur fait preuve d'un manque du sens des responsabilités; il ne s'agit pas de la différence entre l'intention et la négligence, mais d'une qualification particulière des actes de l'auteur. C'est en premier lieu en fonction des dispositions spécifiques qui définissent les devoirs de l'auteur qu'il convient de déterminer s'il a usé des précautions commandées par les circonstances et sa situation personnelle. En résumé, il ne s'agit pas de faire la différence entre l'intention et la négligence proprement dite, mais d'apprécier l'attitude de l'auteur d'une manière particulière. D'après la structure et la fonction de la norme pénale en cause, l'auteur est puni pour avoir dû reconnaître le risque de l'insolvabilité et pour l'avoir pris, ou pour l'avoir nié d'une manière irresponsable. Quant au rapport de causalité adéquate, il existe lorsque, selon le cours ordinaire des choses et l'expérience générale de la vie, l'acte reproché à l'accusé est de nature à produire le résultat illicite ou à en favoriser l'avènement; il n'est pas nécessaire que les actes reprochés soient seuls à l'origine du résultat, ni qu'ils en soient la cause directe (ATF 115 IV 38 consid. 2, JdT 1990 IV 128, et les références citées).</w:t>
      </w:r>
    </w:p>
    <w:p>
      <w:r>
        <w:rPr>
          <w:b/>
        </w:rPr>
        <w:t>E. 2.4</w:t>
      </w:r>
    </w:p>
    <w:p>
      <w:r>
        <w:t>Selon l'art. 167 CP, se rend coupable d'avantages accordés à certains créanciers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valeurs usuelles, aura, de ses propres moyens, donné des sûretés pour une dette alors qu'il n'y était pas obligé, pour autant qu'il ait été déclaré en faillite ou qu'un acte de défaut de biens ait été dressé contre lui. L'insolvabilité au sens de cette disposition se définit comme la situation selon laquelle les actifs du débiteur ne couvrent plus les prétentions des créanciers de la société. La couverture doit également porter sur les créances qui, pour ne pas être encore exigibles, le deviendront bientôt, selon toute probabilité (ATF 104 IV 77 consid. 3d).</w:t>
      </w:r>
    </w:p>
    <w:p>
      <w:r>
        <w:rPr>
          <w:b/>
        </w:rPr>
        <w:t>E. 2.5</w:t>
      </w:r>
    </w:p>
    <w:p>
      <w:r>
        <w:t>En l’espèce, il ressort du dossier que l’intimé a remboursé en date du 22 octobre 2010 le prêt de 200'000 fr. accordé par P.________ (P. 10). De plus, il a payé des dettes fiscales dans le canton de Berne, par 499'486 fr. le 13 octobre 2010 et par 250'000 fr. le 21 janvier 2011 (cf. P. 11 et 34). Ces dettes semblaient échues au moment où l’intimé les a payées. Le fait que le paiement de dettes échues au moyen de numéraires ne figure pas au nombre des comportements répréhensibles selon l’art. 167 CP n’empêche pas en soi que cette infraction puisse tout de même entrer en considération (ATF 117 IV 23, consid. 2, JdT 1993 IV 42). A ce stade, on ne peut en effet pas exclure que le recourant, en désintéressant le fisc bernois et P.________, ait cherché à désavantager le recourant. Le fait que la créance du recourant était litigieuse lorsque N.________ a payé les dettes précitées n’y change rien. La thèse de la simulation soutenue par l’intimé dans l’action en libération de dette, thèse qui n’était étayée par aucun élément sérieux (cf. P. 6/18), ne paraît avoir été qu’un moyen de repousser le plus longtemps possible le paiement de sa dette à l’égard du recourant. Enfin, il est clair, contrairement à ce que semble indiquer le procureur, que la créance du recourant était exigible au moment où l’intimé a payé d’autres créanciers. Cette exigibilité découle des clauses du contrat de prêt du 12 janvier 2002, de la mise en demeure du 22 octobre 2008 ainsi que du fait que le prêt a été dénoncé au remboursement le 19 décembre 2008 (P. 6/10 et 6/11). Par ailleurs, il est établi que l’intimé a consacré en 2010 et 2011 quelque 318'000 fr. au fonctionnement de son Etude, qui était alors déficitaire. Cette somme est sans rapport avec les revenus de quelque 33'600 fr. procurés par son activité d’avocat pour les exercices correspondants. Lors de l’audition du 2 octobre 2013, lorsque le procureur a fait remarquer au prévenu que ses charges salariales mensuelles s’élevaient à 9'000 fr. pour l’année 2010 alors que le chiffre d’affaires était inférieur à 3'000 fr., l’intéressé a expliqué avoir réalisé alors qu’il aurait dû licencier son personnel (PV aud. 1, p. 4). Dans ces circonstances, on ne peut pas non plus exclure que cet acte de gestion, dans la mesure où il a aggravé l’insolvabilité de l’intimé, puisse tomber sous le coup de l’art. 165 CP. En ce qui concerne les infractions de gestion fautive et d’avantages accordés à des créanciers, il existe des doutes au sujet de la culpabilité de l’intimé, doutes qui à ce stade, ne sauraient lui profiter. Cela étant, l’instruction n’apparaît pas complète : elle n’a pas porté sur les raisons du paiement par l’intimé de ses dettes à l’égard du fisc bernois à ce moment précis (P. 34). De plus, le notaire X.________, invoquant le secret professionnel, a refusé de faire droit à la requête du procureur de produire le dossier relatif à la vente de la maison de l’intimé (parcelle n° [...] de la commune de [...]). Il a été délié du secret professionnel par l’intimé (P. 46/2), mais non par les acquéreurs, dont les coordonnées figurent au dossier (P. 51). Il y aura dès lors lieu d’entreprendre des démarches en ce sens auprès de ces derniers, de manière à ce que, le cas échéant, le notaire puisse produire le dossier concernant la vente de cette parcelle (art. 171 al. 2 let. b CPP ; art. 42 LNo [Loi sur le notariat ; RSV 178.11]. Au vu du résultat de l’instruction complémentaire ordonnée par la cour de céans, le procureur examinera si les conditions d’une mise en accusation du prévenu sont réunies.</w:t>
      </w:r>
    </w:p>
    <w:p>
      <w:r>
        <w:rPr>
          <w:b/>
        </w:rPr>
        <w:t>E. 3</w:t>
      </w:r>
    </w:p>
    <w:p>
      <w:r>
        <w:t>En définitive, le recours doit être admis. L’ordonnance sera annulée s’agissant des art. 165 et 167 CP et en tant qu’elle alloue une indemnité à ce stade de l’instruction ; elle sera confirmée s’agissant de l’art. 323 CP. Le dossier sera renvoyé au Ministère public pour qu’il procède dans le sens des considérants qui précèdent, puis rende une nouvelle décision. Les frais de la procédure de recours, constitués en l’espèce de l’émolument d'arrêt, par 1’100 fr. (art. 20 al. 1 TFIP [Tarif des frais de procédure et indemnités en matière pénale du 28 septembre 2010; RSV 312.03.1]), seront mis à la charge de N.________ qui, ayant conclu au rejet du recours, succombe (art. 428 al. 1 CPP). S’agissant des dépens réclamés par le recourant, il appartiendra à ce dernier d’adresser à la fin de la procédure ses prétentions à l’autorité pénale compétente selon l’art. 433 al. 2 CPP (CREP 16 avril 2013/279 consid. 4 et les références citées). Par ces motifs, la Chambre des recours pénale prononce : I. Le recours est admis. II. Les chiffres I et III de l’ordonnance du 27 janvier 2016 sont annulés s’agissant des infractions de gestion fautive et d’avantages accordés à certains créanciers ; les chiffres I et II de l’ordonnance sont maintenus pour le surplus. III. Le dossier de la cause est renvoyé au Ministère public de l’arrondissement de La Côte pour qu’il procède dans le sens des considérants. IV. Les frais d’arrêt, par 1’100 fr. (mille cent francs), sont mis à la charge de N.________. V. L’arrêt est exécutoire. Le président :               Le greffier : Du Le présent arrêt, dont la rédaction a été approuvée à huis clos, est notifié, par l'envoi d'une copie complète, à : - Me Nicolas Perret, avocat (pour G.________), - Me Jean-Samuel Leuba, avocat (pour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