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319 vom 21. April 2016</w:t>
      </w:r>
    </w:p>
    <w:p>
      <w:r>
        <w:t>VD Tribunal cantonal, 2016-04-21, FR</w:t>
      </w:r>
    </w:p>
    <w:p>
      <w:r>
        <w:rPr>
          <w:b/>
        </w:rPr>
        <w:t xml:space="preserve">Quelle: </w:t>
      </w:r>
      <w:r>
        <w:t>https://mcp.opencaselaw.ch/entscheid/vd_findinfo_D_cision___2016___319</w:t>
      </w:r>
    </w:p>
    <w:p>
      <w:r>
        <w:t>FR: VD_FINDINFO Décision / 2016 / 319 du 21 avril 2016</w:t>
      </w:r>
    </w:p>
    <w:p>
      <w:r>
        <w:t>IT: VD_FINDINFO Décision / 2016 / 319 del 21 aprile 2016</w:t>
      </w:r>
    </w:p>
    <w:p>
      <w:pPr>
        <w:pStyle w:val="Heading2"/>
      </w:pPr>
      <w:r>
        <w:t>Regeste</w:t>
      </w:r>
    </w:p>
    <w:p>
      <w:r>
        <w:t>DÉFENSE D'OFFICE, COMPLEXITÉ DE LA PROCÉDURE |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X.________ est recevable (Moreillon/Parein-Reymond, Code de procédure pénale, Petit commentaire, Bâle 2013, n. 18 ad art. 132 CPP ; CREP 14 mars 2016/189).</w:t>
      </w:r>
    </w:p>
    <w:p>
      <w:r>
        <w:rPr>
          <w:b/>
        </w:rPr>
        <w:t>E. 2.1</w:t>
      </w:r>
    </w:p>
    <w:p>
      <w:r>
        <w:t>Le recourant conteste le fait que l’affaire ne présenterait de difficulté ni en fait, ni en droit, relevant en particulier que lors du dépôt de sa requête, il n’avait pas encore admis les faits, que, même s’il avait finalement admis des violences conjugales lors de sa dernière audition, la version de la plaignante et la sienne divergeraient encore sur des points importants comme la fréquence, la durée ou l’intensité de ces violences, qu’il existerait en outre des difficultés sur le plan du droit dès lors qu’il y aurait lieu de déterminer sa responsabilité au moment des faits au regard de sa problématique psychiatrique et que diverses notions juridiques telles que la récidive, l’infraction qualifiée ou le prononcé d’une éventuelle mesure devraient encore être discutées. Le recourant relève également que la plaignante serait pourvue d’un défenseur d’office, qu’elle envisagerait de faire valoir des conclusions civiles sur lesquelles le recourant ne serait pas capable de se déterminer seul, qu’une procédure civile – étroitement liée à la procédure pénale – est actuellement pendante dans laquelle il bénéficie de l’assistance judiciaire et qu’il s’imposerait donc de lui désigner un défenseur d’office afin de ne pas diminuer la qualité de la défense de ses intérêts d’un point de vue global. Enfin, il fait valoir qu’en raison d’une récente hospitalisation d’une durée d’un mois pour des raisons psychiatriques et du suivi psychiatrique constant dont il aurait depuis lors besoin, il ne serait pas en mesure de suivre seul cette procédure, ne serait-ce que pour respecter les divers délais de procédure qui lui seront impartis ou pour faire face à la menace d’emprisonnement évoquée en cas de récidive.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2.4</w:t>
      </w:r>
    </w:p>
    <w:p>
      <w:r>
        <w:t>En l’espèce, on relèvera tout d’abord qu’il n’y a pas lieu de donner suite à la réquisition du recourant tendant à la production du dossier civil des époux, seuls les éléments de la procédure pénale étant déterminants pour l’examen de la présente décision. Ensuite, et contrairement à ce qu’a fait plaider le recourant, la partie plaignante ne bénéficie pas de l’assistance judiciaire, puisqu’elle est assistée d’un conseil de choix. Pour le surplus, X.________ est prévenu de lésions corporelles simples, subsidiairement de voies de fait qualifiées, d’injure et de menaces qualifiées. On ne se trouve donc manifestement pas dans un cas de défense obligatoire (art. 130 CPP), ce que le recourant ne soutient du reste pas. Le fait que le recourant ait tout d’abord contesté puis admis certains faits – qui consistent essentiellement en une violente dispute intervenue entre les époux dans un contexte de séparation – n’est pas déterminant pour l’appréciation globale de la situation. Il en va de même du fait que la requête de désignation d’un défenseur d’office soit antérieure à l’admission des faits par le prévenu. En effet, il y a lieu de constater que le prévenu a été entendu à deux reprises et que, lors de sa seconde audition à l’audience de conciliation du 2 février 2016 (PV aud. 1), il a notamment pu s’expliquer sur les faits et les circonstances y relatives. Il a admis s’en être pris à son épouse. En conséquence et en dépit du fait qu’il demeure des doutes sur l’intensité et la fréquence des violences conjugales, les faits de la présente cause ne sauraient être qualifiés de complexes. Sur le plan juridique, les conditions de réalisation des infractions reprochées au recourant – soit les lésions corporelles simples, les injures et les menaces qualifiées – se comprennent aussi aisément. La cause n'est donc compliquée ni en fait, ni en droit, de sorte que le recourant a les capacités de se défendre seul. Enfin, s’agissant des troubles psychiatriques invoqués par le recourant, il n’apparaît pas, au vu de l’absence de complexité de la cause relevée ci-dessus, que ces troubles constitueraient un obstacle au fait que le prévenu soit en mesure de se défendre seul. En effet, il ressort de l’audition de conciliation qu’en dépit de ces troubles, celui-ci a notamment pu s’expliquer sur ce qui s’était passé et sur l’influence des troubles invoqués sur son comportement (PV aud. 1, spéc. lignes 98 à 115). Enfin, à ce stade, on ne discerne pas quelles mesures importantes d’instruction seraient encore nécessaires et justifieraient la désignation d’un défenseur d’office. Au vu de ce qui précède, l’assistance d’un avocat n’est donc pas nécessaire à la sauvegarde des intérêts du recourant au sens de l’art. 132 al. 2 et 3 CPP et c’est à juste titre que la direction de la procédure lui a refusé la désignation d’un défenseur d’office.</w:t>
      </w:r>
    </w:p>
    <w:p>
      <w:r>
        <w:rPr>
          <w:b/>
        </w:rPr>
        <w:t>E. 2.5</w:t>
      </w:r>
    </w:p>
    <w:p>
      <w:r>
        <w:t>L’une des conditions cumulatives de la défense d’office faisant défaut, il n’y a pas lieu d’examiner la seconde, soit l’indigence du recourant (art. 132 al. 1 let. b CPP).</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février 2016 est confirmée. III. Les frais d’arrêt, par 660 fr. (six cent soixante francs), sont mis à la charge de X.________. IV. L’arrêt est exécutoire. Le président :               La greffière : Du Le présent arrêt, dont la rédaction a été approuvée à huis clos, est notifié, par l'envoi d'une copie complète, à : - Me François Gillard,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