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318 vom 4. Mai 2016</w:t>
      </w:r>
    </w:p>
    <w:p>
      <w:r>
        <w:t>VD Tribunal cantonal, 2016-05-04, FR</w:t>
      </w:r>
    </w:p>
    <w:p>
      <w:r>
        <w:rPr>
          <w:b/>
        </w:rPr>
        <w:t xml:space="preserve">Quelle: </w:t>
      </w:r>
      <w:r>
        <w:t>https://mcp.opencaselaw.ch/entscheid/vd_findinfo_D_cision___2016___318</w:t>
      </w:r>
    </w:p>
    <w:p>
      <w:r>
        <w:t>FR: VD_FINDINFO Décision / 2016 / 318 du 4 mai 2016</w:t>
      </w:r>
    </w:p>
    <w:p>
      <w:r>
        <w:t>IT: VD_FINDINFO Décision / 2016 / 318 del 4 maggio 2016</w:t>
      </w:r>
    </w:p>
    <w:p>
      <w:pPr>
        <w:pStyle w:val="Heading2"/>
      </w:pPr>
      <w:r>
        <w:t>Regeste</w:t>
      </w:r>
    </w:p>
    <w:p>
      <w:r>
        <w:t>CLASSEMENT DE LA PROCÉDURE, MORT, APPRÉCIATION ANTICIPÉE DES PREUVES, CONFISCATION{DROIT PÉNAL} | 70 CP, 318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B.J.________ est recevable.</w:t>
      </w:r>
    </w:p>
    <w:p>
      <w:r>
        <w:rPr>
          <w:b/>
        </w:rPr>
        <w:t>E. 2.1</w:t>
      </w:r>
    </w:p>
    <w:p>
      <w:r>
        <w:t>La recourante reproche au Procureur d’avoir rejeté ses réquisitions de preuve et se plaint du fait qu’il n’ait pas étendu l’instruction pénale à l’époux de A.J.________, C.J.________, contre lequel des soupçons existeraient également.</w:t>
      </w:r>
    </w:p>
    <w:p>
      <w:r>
        <w:rPr>
          <w:b/>
        </w:rPr>
        <w:t>E. 2.2</w:t>
      </w:r>
    </w:p>
    <w:p>
      <w:r>
        <w:t>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fixé par la loi, il peut être prolongé sur demande (art. 89 al. 1 a contrario CPP ; Cornu, in :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Un empêchement de procéder, au sens de l’art. 319 al. 1 let. d CPP, apparaît notamment lors du décès du prévenu (Moreillon/Parein-Reymond, Code de procédure pénale, Petit commentaire, Bâle 2013, n. 17 ad art. 319 CPP ; Roth, in : Kuhn/Jeanneret (éd.), op. cit., n. 11 ad. art. 319 CPP ; CREP 3 mai 2011/102).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7 mai 2014/323 et les références citées).</w:t>
      </w:r>
    </w:p>
    <w:p>
      <w:r>
        <w:rPr>
          <w:b/>
        </w:rPr>
        <w:t>E. 2.4</w:t>
      </w:r>
    </w:p>
    <w:p>
      <w:r>
        <w:t>Dans son rapport du 21 octobre 2015 (P. 17), la police de sûreté, sur la base de la plainte de la recourante et des documents fournis par celle-ci, a en substance relevé que plusieurs opérations bancaires suspectes, portant sur un montant total de 176'929 fr. 25, auraient été effectuées, entre le 7 juin 2012 et le 22 juillet 2013, à Lausanne et dans la région de La Côte sur le compte [...] de cette dernière, alors qu’elle vivait à [...]. L’analyse de ces documents bancaires a permis à la police de déterminer que A.J.________, qui était au bénéfice d’une procuration au nom de B.J.________ sur le compte précité et vivait dans la région de la Côte avec son époux C.J.________, était vraisemblablement impliquée dans ces opérations frauduleuses. La brigade financière, tout en relevant d’autres opérations suspectes pour une somme de plus de 163'349 fr. 30, a indiqué en conclusion que seule une audition de A.J.________ ou de son entourage serait à même d’apporter des nouveaux éléments à l’enquête. En l’espèce, il n’est pas contesté que le décès de A.J.________ met fin à la poursuite pénale dirigée contre elle. Cependant, au regard des éléments ressortant du rapport de la police de sûreté, il apparaît que l’audition de l’entourage de cette dernière est de nature à apporter des éclaircissements quant aux personnes étant à l’origine des opérations suspectes visées par la présente procédure. C’est par conséquent à juste titre que la recourante a sollicité l’audition de son neveu C.J.________. Cette audition permettra en effet d’établir si ce dernier a joué ou non un rôle dans les mouvements opérés sur les comptes de sa tante. En l’état, rien ne permet en effet d’exclure que l’intéressé ait été impliqué d’une manière ou d’une autre dans les opérations bancaires litigieuses, puisqu’il était également en mesure de procéder à des retraits dans les régions considérées, que son épouse aurait par exemple pu lui remettre des fonds provenant de retraits frauduleux ou que de l’argent provenant de ces retraits aurait pu être utilisé en sa faveur, en particulier pour payer les factures du couple. En outre, les autres mesures d’enquête requises par la recourante dans son courrier du 1 er février 2016 paraissent également propres à apporter de nouveaux éléments à l’instruction. Enfin, il importe peu que la plainte ait initialement été dirigée contre l’épouse de C.J.________ uniquement, dès lors que les infractions retenues à ce stade par le Ministère public, à savoir l’abus de confiance, l’escroquerie et la gestion déloyale, se poursuivent d’office.</w:t>
      </w:r>
    </w:p>
    <w:p>
      <w:r>
        <w:rPr>
          <w:b/>
        </w:rPr>
        <w:t>E. 2.5</w:t>
      </w:r>
    </w:p>
    <w:p>
      <w:r>
        <w:t>En définitive, le dossier est lacunaire et l’instruction devra être complétée afin de déterminer si C.J.________ est impliqué dans les opérations suspectes constatées sur les comptes bancaires de la plaignante, en donnant notamment suite aux réquisitions de preuve de cette dernière. Par ailleurs, le Procureur devra identifier les valeurs patrimoniales qui sont le résultat d’une infraction puis les séquestrer afin de les restituer à la lésée à l’issue de la procédure. A cet égard, il y a lieu de relever que la confiscation est une mesure à caractère réel qui doit être prononcée indépendamment du fait que l’auteur de l’infraction soit identifié, poursuivable ou condamnable, de sorte que l’art. 70 CP (Code pénal suisse du 21 décembre 1937 ; RS 311.0) est applicable même lorsque l’auteur est décédé (Dupuis et al., Petit commentaire du Code pénal, Bâle 2012, n. 12 ad art. 70 CP). Si les valeurs ne sont plus disponibles, et même si C.J.________ n’est pas punissable, le Procureur devra prononcer une créance compensatrice contre ce dernier, s’il est de mauvaise foi (Dupuis et al., op. cit., n. 7 ad art. 71 CP). On rappellera enfin que le Ministère public est compétent, même lorsqu’il rend une ordonnance de classement, pour prononcer la confiscation, respectivement pour prononcer une créance compensatrice et/ou l’allocation au lésé (art. 320 al. 2, 2 e phrase, CPP ; Schmid, Schweizerische Strafprozessordnung, Praxiskommentar, 2 e éd., Zurich/St-Gall 2013, n. 4 ad art. 320 CPP ; Message du Conseil fédéral relatif à l’unification du droit de procédure du 21 décembre 2005, FF 2006 pp. 1057 ss, spéc. 1256). 3. Il résulte de ce qui précède que le recours doit être admis en ce sens que l’ordonnance de classement du 5 février 2016 est annulée, le dossier de la cause étant renvoyé au Ministère public de l’arrondissement de La Côte pour qu’il procède dans le sens des considérants. Les frais de la procédure de recours, constitués en l’espèce uniquement de l’émolument d’arrêt, par 880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II. L’ordonnance du 5 février 2016 est annulée. III. Le dossier de la cause est retourné au Ministère public de l’arrondissement de La Côte pour qu’il procède dans le sens des considérants. IV. Les frais de la procédure de recours, par 880 fr. (huit cent huitante francs), sont laissés à la charge de l’Etat. V. L’arrêt est exécutoire. Le président :               Le greffier : Du Le présent arrêt, dont la rédaction a été approuvée à huis clos, est notifié, par l'envoi d'une copie complète, à : - Me Dorothée Raynaud, avocate (pour B.J.________), - M. [...], curateur de B.J.________,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2013 consid. 3.1 ; ATF 136 I 229 consid. 5.3 ; Bénédict/Treccani, in : Kuhn/Jeanneret (éd.), op. cit.,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op. cit., n. 19 ad art. 318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