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315 vom 9. Mai 2016</w:t>
      </w:r>
    </w:p>
    <w:p>
      <w:r>
        <w:t>VD Tribunal cantonal, 2016-05-09, FR</w:t>
      </w:r>
    </w:p>
    <w:p>
      <w:r>
        <w:rPr>
          <w:b/>
        </w:rPr>
        <w:t xml:space="preserve">Quelle: </w:t>
      </w:r>
      <w:r>
        <w:t>https://mcp.opencaselaw.ch/entscheid/vd_findinfo_D_cision___2016___315</w:t>
      </w:r>
    </w:p>
    <w:p>
      <w:r>
        <w:t>FR: VD_FINDINFO Décision / 2016 / 315 du 9 mai 2016</w:t>
      </w:r>
    </w:p>
    <w:p>
      <w:r>
        <w:t>IT: VD_FINDINFO Décision / 2016 / 315 del 9 maggio 2016</w:t>
      </w:r>
    </w:p>
    <w:p>
      <w:pPr>
        <w:pStyle w:val="Heading2"/>
      </w:pPr>
      <w:r>
        <w:t>Regeste</w:t>
      </w:r>
    </w:p>
    <w:p>
      <w:r>
        <w:t>FRAIS{EN GÉNÉRAL}, INDEMNITÉ{EN GÉNÉRAL}, AVOCAT, TORT MORAL | 420 CPP, 427 al. 2 CPP (CH), 432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qui est dans le canton de Vaud la Chambre des recours pénale du Tribunal cantonal (art. 13 LVCPP) [loi vaudoise d’introduction du code de procédure pénale suisse ; RSV 312.01] ; art. 80 LOJV [loi vaudoise d’organisation judiciaire ; RSV 173.01]). Lorsque, comme en l’espèce, le recours porte uniquement sur les conséquences économiques accessoires d'une décision et que le montant litigieux dépasse 5'000 fr., le recours relève de la compétence de la Chambre des recours pénale dans sa composition ordinaire à trois juges et non du juge unique (cf. art. 395 al. 1 let. b CPP a contrario et art. 13 al. 2 LVCPP ; CREP 17 janvier 2014/21 consid. 2).</w:t>
      </w:r>
    </w:p>
    <w:p>
      <w:r>
        <w:rPr>
          <w:b/>
        </w:rPr>
        <w:t>E. 1.2</w:t>
      </w:r>
    </w:p>
    <w:p>
      <w:r>
        <w:t>Interjeté dans le délai légal auprès de l’autorité compétente par le prévenu qui a qualité pour recourir (cf. 382 al. 1 CPP), le recours est recevable.</w:t>
      </w:r>
    </w:p>
    <w:p>
      <w:r>
        <w:rPr>
          <w:b/>
        </w:rPr>
        <w:t>E. 2.1</w:t>
      </w:r>
    </w:p>
    <w:p>
      <w:r>
        <w:t>Le recourant conteste la mise à sa charge des frais de procédure et le refus par le Ministère public de lui allouer une indemnité pour les dépenses occasionnées par l’exercice raisonnable de ses droits de procédure. Il soutient n’avoir pas manqué fautivement à ses obligations alimentaires. Contrairement aux déclarations de la plaignante, il aurait versé la somme totale de 164'270 fr. 65 rien que pour la période comprise entre les mois de décembre 2012 et août 2014. Celle-ci aurait également indûment encaissé, à son insu, près d’un million de francs correspondant au prix de vente d’un immeuble à Dubaï dont ils étaient copropriétaires.</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 En outre, le juge doit fonder sa décision sur des faits incontestés ou déjà clairement établis (ATF 112 Ia 371 consid. 2a ; TF 6B_87/2012 du 27 avril 2012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consid. 1.2 ; TF 1B_21/2012 du 27 mars 2012 consid. 2.1).</w:t>
      </w:r>
    </w:p>
    <w:p>
      <w:r>
        <w:rPr>
          <w:b/>
        </w:rPr>
        <w:t>E. 2.3</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(TF 6B_438/2013 consid. 2.1 et les arrêts cités, not. ATF 138 IV 248 consid. 4.2.2 et 4.2.3, JdT 2013 IV 191).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 TF 6B_438/2013 consid. 2.1 précité ; ATF 138 IV 248 précité, JdT 2013 IV 191 consid. 4.2.4 ; Domeisen, in: Niggli/Heer/Wiprächtiger [éd.], Basler Kommentar, Schweizerische Strafprozessordnung, Jugendstrafprozessordnung, 2 e éd., Bâle 2014, n. 12 ad art. 427 CPP).</w:t>
      </w:r>
    </w:p>
    <w:p>
      <w:r>
        <w:rPr>
          <w:b/>
        </w:rPr>
        <w:t>E. 2.4</w:t>
      </w:r>
    </w:p>
    <w:p>
      <w:r>
        <w:t>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La jurisprudence résumée ci-dessus est donc applicable par analogie (TF 6B_438/2013 précité consid. 3.1). L'indemnité visée par l'art. 432 al. 2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2.5.1</w:t>
      </w:r>
    </w:p>
    <w:p>
      <w:r>
        <w:t>En l’espèce, contrairement à ce que la partie plaignante a allégué dans sa plainte pénale, le recourant ne s’est pas désintéressé de sa famille et a versé des montants importants les années précédant le dépôt de plainte, notamment le montant total de 164'270 fr. 65 entre les mois de décembre 2012 et août 2014 (cf. P. 12/5). La quotité de la contribution d’entretien en faveur des enfants N.________ n’a été fixée, par ordonnance de mesures provisionnelles, que le 8 mai 2015 et celle en faveur d’I.N.________ n’a jamais été fixée de manière définitive sur le plan civil (cf. P. 12/2 à 12/4), si bien que l’on ne saurait reprocher au recourant de ne pas avoir versé à son épouse l’intégralité des montants qu’elle réclamait. Il s’avère même que cette dernière disposait de ressources financières importantes avant le début de la procédure pénale, puisqu’elle a vendu au mois d’avril 2014, à l’insu de son époux, l’appartement de Dubaï dont ils étaient copropriétaires (P. 12/19). Il paraît ainsi établi que la plaignante a engagé la procédure en portant des accusations mensongères envers son époux. On peut encore ajouter que les époux N.________ ont signé, le 21 mars 2016, une convention de divorce avec accord complet, dans laquelle ils ont notamment renoncé réciproquement à toute contribution à leur propre entretien et dans laquelle I.N.________ s’est engagée à prendre en charge tous les frais afférents à la présente procédure pénale (P. 20/2, notamment les articles 3 et 16). Aucun comportement fautif et contraire à une règle juridique ne peut dès lors être imputé au prévenu. Il apparaît ainsi que A.N.________ n’a pas, de manière illicite et fautive, provoqué l'ouverture de la procédure ou rendu plus difficile la conduite de celle-ci. Les frais de la procédure ne pouvaient dès lors être mis à sa charge sur la base de l’art. 426 al. 2 CPP.</w:t>
      </w:r>
    </w:p>
    <w:p>
      <w:r>
        <w:rPr>
          <w:b/>
        </w:rPr>
        <w:t>E. 2.5.2</w:t>
      </w:r>
    </w:p>
    <w:p>
      <w:r>
        <w:t>Il convient ensuite d’examiner si les frais de la procédure pouvaient être mis à la charge de la partie plaignante au sens de l’art. 427 al. 2 CPP, dans la mesure où l'enquête qui a abouti au classement de la procédure en faveur de A.N.________ avait été ouverte pour violation d’une obligation d’entretien (art. 217 CP), infraction se poursuivant sur plainte. En l’espèce, I.N.________ s’est constituée partie plaignante le 3 novembre 2014 (cf. P. 4) et a activement pris part à la procédure. Par le dépôt de sa plainte, elle a en effet déclenché l’ouverture de la procédure pénale à l’encontre de son ex-époux, nécessitant le signalement au RIPOL de ce dernier, qui a été interpellé à l’aéroport de Genève le 8 février 2016 puis détenu. Compte tenu de la jurisprudence exposée ci-dessus (consid. 2.3), il se justifiait de mettre les frais de procédure à la charge de la partie plaignante, sans autre condition, en application de l’art. 427 al. 2 CPP.</w:t>
      </w:r>
    </w:p>
    <w:p>
      <w:r>
        <w:rPr>
          <w:b/>
        </w:rPr>
        <w:t>E. 2.5.3</w:t>
      </w:r>
    </w:p>
    <w:p>
      <w:r>
        <w:t>S’agissant de l’examen de l’allocation au recourant d’une indemnité pour ses frais de défense, c’est l’art. 432 al. 2 CPP qui est applicable, l’infraction se poursuivant sur plainte. Il ressort du dossier que, sans être d’une complexité particulière, l’affaire justifiait l’assistance d’un avocat dans la mesure où la partie plaignante était également représentée durant l’instruction et où le litige semblait trouver son origine dans une procédure de divorce conflictuelle opposant les parties. Le recourant a par conséquent droit à une indemnité. Compte tenu des considérations qui précèdent et dès lors que les principes applicables dans le cadre de l’art. 432 al. 2 CPP sont les mêmes que ceux découlant de l’art. 427 al. 2 CPP, il se justifie de mettre cette indemnité à la charge d’I.N.________. Afin de fixer l’indemnité qui est due au recourant, il y a lieu de se référer à la liste des opérations produite par Me Bénédict Fontanet devant le Ministère public, qui fait état d’un montant de 5'250 fr. à un tarif horaire de 400 fr., sans prise en compte de la TVA en raison du domicile du recourant, pour des opérations effectuées entre le 8 février et le 8 mars 2016 (P. 18/1). La liste des opérations n’indique toutefois pas clairement le nombre d’heures effectuées par l’avocat. Compte tenu de la nature de la cause et des opérations très urgentes et soutenues en raison de la mise en détention du recourant, il convient de retenir une activité de 10 heures au tarif horaire de 350 fr. (art. 26a al. 3 TFIP). Partant, I.N.________ devra verser au recourant un montant de 3’500 fr. à titre d’indemnité pour les dépenses occasionnées par l’exercice raisonnable des droits de procédure de ce dernier au sens de l’art. 432 al. 2 CPP.</w:t>
      </w:r>
    </w:p>
    <w:p>
      <w:r>
        <w:rPr>
          <w:b/>
        </w:rPr>
        <w:t>E. 3.1</w:t>
      </w:r>
    </w:p>
    <w:p>
      <w:r>
        <w:t>Le recourant réclame également un montant de 2'000 fr. à titre de réparation du tort moral pour détention injustifiée. Il expose que sa mise en détention était totalement disproportionnée puisque le Ministère public disposait d’autres moyens pour garantir qu’il ne quitte pas la Suisse. Cet abus du pouvoir d’appréciation aurait causé une importante atteinte à sa personnalité, puisqu’il a été placé en détention de manière abrupte et dans des conditions difficiles.</w:t>
      </w:r>
    </w:p>
    <w:p>
      <w:r>
        <w:rPr>
          <w:b/>
        </w:rPr>
        <w:t>E. 3.2.1</w:t>
      </w:r>
    </w:p>
    <w:p>
      <w:r>
        <w:t>Le prévenu a droit à une réparation du tort moral subi au sens de l’art. 429 al. 1 let. c CPP en raison d’une atteinte particulièrement grave à sa personnalité, notamment en cas de privation de liberté. Par atteinte grave à la personnalité, l’art. 429 al. 1 let. c CPP renvoie à l’art. 49 CO (Wehrenberger/ Bernhard, in : Niggli/Heer/Wiprächtiger [éd.], op. cit., n. 27 ad art. 429 CPP ; Griesser, in : Donatsch/Hansjakob/Lieber [éd.], Kommentar zur Schweizerischen Strafprozessordnung, Zurich 2010,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in : Donatsch/ Hansjakob/Lieber [éd.], op. cit., n. 7 ad art. 429 CPP ; Schmid, Praxiskommentar, Schweizerische Strafprozessordnung, Zurich/St-Gall 2009, n. 10 ad art. 429 CPP). Une arrestation de plus de trois heures constitue une détention avant jugement qui peut donner lieu à indemnisation (TF 6B_53/2013 du 8 juillet 2013 consid. 2.2 non publié à l’ATF 139 IV 243). Le montant de l'indemnité en matière de détention injustifiée doit être fixé en fonction de la gravité de l'atteinte portée à la personnalité (cf. art. 49 al. 1 CO).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(ibidem; cf. ég. TF 6B_745/2009 du 12 novembre 2009 consid. 7.1). Il est préconisé en doctrine de compter les fractions de jour pour un jour entier (Mizel/Rétornaz, in :Kuhn/Jeanneret [éd.], Commentaire romand, Code de procédure pénale suisse, Bâle 2011, n. 48 ad art. 429 CPP).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(TF 6B_53/2013 précité consid. 3.2 et les références citées).</w:t>
      </w:r>
    </w:p>
    <w:p>
      <w:r>
        <w:rPr>
          <w:b/>
        </w:rPr>
        <w:t>E. 3.2.2</w:t>
      </w:r>
    </w:p>
    <w:p>
      <w:r>
        <w:t>L’indemnité de l’art. 429 al. 1 let. c CPP est en principe mise à la charge de l’Etat. Comme on l’a vu plus haut, lorsque l'infraction est poursuivie sur plainte, l’art. 432 al. 2 CPP prévoit l’indemnisation du prévenu qui a obtenu gain de cause sur la question de sa culpabilité pour les dépenses occasionnées par l'exercice raisonnable de ses droits de procédure par la partie plaignante ou le plaignant qui, ayant agi de manière téméraire ou par négligence grave, a entravé le bon déroulement de la procédure ou a rendu celle-ci plus difficile. Cette disposition ne prévoit ainsi pas l’indemnisation du prévenu par la partie plaignante pour le dommage économique et le tort moral subis lorsque celle-ci a agi de manière téméraire ou par négligence grave. Dans ce cas de figure, l’art. 420 CPP peut toutefois trouver application (Wehrenberg/Frank, in : Niggli/Heer/Wiprächtiger [éd.], op. cit., n. 21 ad art. 432 CPP).</w:t>
      </w:r>
    </w:p>
    <w:p>
      <w:r>
        <w:rPr>
          <w:b/>
        </w:rPr>
        <w:t>E. 3.2.3</w:t>
      </w:r>
    </w:p>
    <w:p>
      <w:r>
        <w:t>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contre les personnes qui lui ont causé, intentionnellement ou par négligence grave, des frais de procédure ; il en va de même pour ce qui est des indemnités diverses et de la réparation du tort moral subi par des tiers (TF 6B_5/2013 du 19 février 2013 consid. 2.5 et 2.6 ; Crevoisier, in : Kuhn/Jeanneret [éd.], op. cit., nn. 1 s. ad art. 420 CPP ; Domeisen, in : Niggli/Heer/Wiprächtiger [éd.], op. cit., nn. 2 et 4 ad art. 420 CPP et les références citées ; Schmid, op. cit., nn. 1 et 3 ad art. 420 CPP ; Pitteloud, Code de procédure pénale suisse, Commentaire à l’usage des praticiens, Zurich/St-Gall 2012, n. 1283 et les références citées). L’action récursoire peut porter sur toutes les dépenses assumées par l’Etat en raison du fait de tiers (Domeisen, in : Niggli/Heer/Wiprächtiger [éd.], op. cit., n.</w:t>
      </w:r>
    </w:p>
    <w:p>
      <w:r>
        <w:rPr>
          <w:b/>
        </w:rPr>
        <w:t>E. 3.3</w:t>
      </w:r>
    </w:p>
    <w:p>
      <w:r>
        <w:t>En l’espèce, le recourant a été détenu à tort entre le 8 et le 9 février 2016, soit durant moins de 24 heures. En l’absence d’éléments concrets sur la souffrance psychique endurée par celui-ci et conformément à la jurisprudence du Tribunal fédéral citée ci-dessus, c’est une indemnité de 200 fr. qui sera allouée au recourant pour la détention injustifiée subie, à la charge de l’Etat. Il résulte des considérants qui précèdent que les conditions de l’action récursoire de l’art. 420 CPP sont réalisées, I.N.________ ayant causé, intentionnellement ou par négligence grave, un tort moral au recourant (cf. c. 2.5.1 et 2.5.2 supra ). Il se justifie donc que la partie plaignante rembourse à l’Etat l’indemnité de 200 fr. allouée au recourant à titre de réparation du tort moral subi en application de l’art. 420 CPP.</w:t>
      </w:r>
    </w:p>
    <w:p>
      <w:r>
        <w:rPr>
          <w:b/>
        </w:rPr>
        <w:t>E. 4</w:t>
      </w:r>
    </w:p>
    <w:p>
      <w:r>
        <w:t>En définitive, le recours doit être admis et l’ordonnance attaquée réformée dans le sens des considérants. Les frais de la procédure de recours, constitués en l'espèce de l'émolument d'arrêt, par 1'540 fr. (art. 20 al. 1 TFIP  [Tarif des frais de procédure et indemnités en matière pénale du 28 septembre 2010; RSV 312.03.1]), seront laissés à la charge de l’Etat (art. 428 al. 1 CPP). Le prévenu, qui a obtenu gain de cause et qui a procédé avec l'assistance d'un conseil professionnel, a droit à une indemnité pour la défense raisonnable de ses intérêts dans le cadre de la présente procédure de recours, fixée à 900 fr., plus la TVA par 72 fr., soit un total de 972 fr., à la charge de l’Etat (art. 429 al. 1 let. a CPP, applicable par renvoi de l’art. 436 al. 1 CPP). Par ces motifs, la Chambre des recours pénale prononce : I. Le recours est admis. II. L’ordonnance du 10 mars 2016 est réformée aux chiffres II et III de son dispositif comme suit : II. Met les frais de procédure, par 975 fr. (neuf cent septante-cinq francs), à la charge d’I.N.________ ; III. Dit qu’I.N.________ versera à A.N.________ la somme de 3’500 fr. (trois mille cinq cent francs) à titre d’indemnité pour les dépenses occasionnées par l’exercice raisonnable de ses droits de procédure. III. L’ordonnance du 10 mars 2016 est complétée à son dispositif par l’ajout des chiffres IV et V nouveaux suivants : IV. Alloue à A.N.________ une indemnité de 200 fr. (deux cents francs) à titre de réparation du tort moral subi, à la charge de l’Etat ; V. Dit qu’I.N.________ doit rembourser à l’Etat l’indemnité de 200 fr. (deux cents francs) allouée à A.N.________ sous chiffre IV ci-dessus. IV. L’ordonnance est maintenue pour le surplus. V. Les frais du présent arrêt, par 1'540 fr. (mille cinq cent quarante francs), sont laissés à la charge de l’Etat. VI. Une indemnité de 972 fr. (neuf cent septante-deux francs) est allouée à A.N.________ pour la procédure de recours, à la charge de l’Etat. VII. L’arrêt est exécutoire. Le président :               La greffière : Du Le présent arrêt, dont la rédaction a été approuvée à huis clos, est notifié, par l'envoi d'une copie complète, à : - Me Bénédict Fontanet, avocat (pour A.N.________), - Mme I.N.________,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