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310 vom 18. April 2016</w:t>
      </w:r>
    </w:p>
    <w:p>
      <w:r>
        <w:t>VD Tribunal cantonal, 2016-04-18, FR</w:t>
      </w:r>
    </w:p>
    <w:p>
      <w:r>
        <w:rPr>
          <w:b/>
        </w:rPr>
        <w:t xml:space="preserve">Quelle: </w:t>
      </w:r>
      <w:r>
        <w:t>https://mcp.opencaselaw.ch/entscheid/vd_findinfo_D_cision___2016___310</w:t>
      </w:r>
    </w:p>
    <w:p>
      <w:r>
        <w:t>FR: VD_FINDINFO Décision / 2016 / 310 du 18 avril 2016</w:t>
      </w:r>
    </w:p>
    <w:p>
      <w:r>
        <w:t>IT: VD_FINDINFO Décision / 2016 / 310 del 18 aprile 2016</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Interjeté, dans le délai légal, auprès de l’autorité compétente par les plaignants qui ont qualité pour recourir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2.2</w:t>
      </w:r>
    </w:p>
    <w:p>
      <w:r>
        <w:t>Pour la procureure, le SPJ n’a fait que relater la problématique des smartphones au sein de l’institution B.________ et les éducateurs ont simplement émis une hypothèse quant à l’origine de ce téléphone. Dès lors que les parents contestaient le placement, le SPJ pouvait être amené à devoir écrire des réflexions contrariantes à leur sujet mais cela ne signifiait pas que celles-ci portaient atteinte à leur honneur. En tout état de cause, les personnes concernées devaient être mises au bénéfice d’un fait justificatif (art. 14 CP), dès lors qu’il était intrinsèque à leur profession de devoir faire part à l’autorité de protection de l’enfant de leurs constatations et réflexions relatives aux mineurs pour lesquels ils étaient mandatés. Cela étant, la requête d’assistance judiciaire gratuite était sans objet, l’affaire n’étant de toute manière pas d’une gravité suffisante pour justifier la désignation d’un conseil juridique gratuit. Les recourants soutiennent que la supposition des professionnels du foyer selon laquelle le smartphone de C.R.________ aurait été probablement un moyen pour ses parents d’organiser ses fugues porte atteinte à leur honneur. Selon eux, il est notoire qu’un enfant faisant une fugue prend des risques importants pour sa sécurité, voire pour sa vie, et que l’attitude d’un parent consistant à organiser une telle fugue se révèle choquante et le rendrait méprisable aux yeux de tiers. En outre, si l’utilisation du smartphone relève de l’hypothèse, l’organisation des fugues par les parents est présentée comme un fait établi, alors que la procureure n’a pas procédé à une quelconque instruction sur ce point.</w:t>
      </w:r>
    </w:p>
    <w:p>
      <w:r>
        <w:rPr>
          <w:b/>
        </w:rPr>
        <w:t>E. 2.3</w:t>
      </w:r>
    </w:p>
    <w:p>
      <w:r>
        <w:t>Aux termes de l'art. 173 ch. 1 CP (Code pénal;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ATF 117 IV 27 consid. 2c). Tant la diffamation que la calomnie sont des infractions intentionnelles (Corboz, Les infractions en droit suisse, 3e éd., vol. I, Berne 2010, n. 48 ad art. 173 CP, p. 591, et n. 11 ad art. 174, p. 611), la seconde se distinguant de la première en ce sens qu'un élément subjectif supplémentaire doit être réalisé, à savoir que l'auteur sait – le dol éventuel n'est pas suffisant – que le fait qu'il allègue est faux (Corboz, op. cit., n. 1, p. 611; Favre/Pellet/Stoudmann, Code pénal annoté, 3e éd., Lausanne 2007, n. 1.1 ad art. 174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Corboz, op. cit., n. 42 ad art. 173 CP et réf.).</w:t>
      </w:r>
    </w:p>
    <w:p>
      <w:r>
        <w:rPr>
          <w:b/>
        </w:rPr>
        <w:t>E. 2.4</w:t>
      </w:r>
    </w:p>
    <w:p>
      <w:r>
        <w:t>En l’espèce, on peut percevoir que les recourants se soient sentis blessés dans leur amour-propre par les propos incriminés. Ceux-ci, cependant, ne les font pas apparaître comme des personnes méprisables. Tout au plus peuvent-ils susciter, chez ceux qui les lisent, à la fois de la réprobation et de la compassion envers des parents se trouvant dans une telle situation. Il n’y a donc aucune atteinte à l’honneur au sens juridique du terme. Il convient en outre de tenir compte du fait que ces propos ont fait l’objet d’une diffusion limitée, puisqu’ils figurent dans un rapport du SPJ à l’intention d’une autorité judiciaire (la justice de paix). Or, une atteinte à l'honneur, dans ce contexte, ne doit être admise que restrictivement (Favre/Pellet/Stoudmann, Code pénal annoté, 3 ème éd. 2007, n. 1.14 ad art. 173 CP). Enfin, les auteurs des assertions incriminées, en portant une appréciation sur les problématiques de l’usage d’un smartphone et des fugues, n’ont fait que remplir un devoir et ne sont pas allés au-delà de ce qu’exigeait l’accomplissement de leur mission, les termes employés n’étant de surcroît pas inutilement blessants. La non-entrée en matière est dès lors entièrement justifiée en tant qu’elle concerne l’atteinte à l’honneur alléguée par les plaignants. Dans la mesure où il ne se justifie pas d’ouvrir une enquête sur ce point, le rejet de la requête d’assistance judiciaire gratuite et de désignation d'un conseil juridique gratuit peut également être confirmé.</w:t>
      </w:r>
    </w:p>
    <w:p>
      <w:r>
        <w:rPr>
          <w:b/>
        </w:rPr>
        <w:t>E. 2.5</w:t>
      </w:r>
    </w:p>
    <w:p>
      <w:r>
        <w:t>En définitive, le recours, manifestement mal fondé, doit être rejeté sans autre échange d'écritures (art. 390 al. 2 CPP). L'ordonnance de non-entrée en matière partielle du 9 février 2016 sera confirmée. Les frais de la procédure de recours, constitués en l'espèce du seul émolument d’arrêt, par 770 fr. (art. 20 al. 1 TFIP [Tarif des frais de procédure et indemnités en matière pénale du 28 septembre 2010; RSV 312.03.1]), seront mis à la charge des recourants qui succombent (art. 428 al. 1 CPP), à part égales et solidairement entre eux (art. 418 al. 2 CPP). Par ces motifs, la Chambre des recours pénale prononce : I. Le recours est rejeté. II. L'ordonnance du 9 février 2016 est confirmée. III. Les frais de la procédure de recours, par 770 fr. (sept cent septante francs), sont mis à la charge des recourants, à parts égales et solidairement entre eux. IV. L’arrêt est exécutoire. Le président :               La greffière : Du Le présent arrêt, dont la rédaction a été approuvée à huis clos, est notifié, par l'envoi d'une copie complète, à : - Me Laurent Möching, avocat (pour A.R.________ et B.R.________), - Ministère public central, et communiqué à : - Mme la Procureure du Ministère public central, division affaires spéciales contrôle et mineurs, - Me Cinzia Petito, avocate (pour C.R.________),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