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304 vom 12. April 2016</w:t>
      </w:r>
    </w:p>
    <w:p>
      <w:r>
        <w:t>VD Tribunal cantonal, 2016-04-12, FR</w:t>
      </w:r>
    </w:p>
    <w:p>
      <w:r>
        <w:rPr>
          <w:b/>
        </w:rPr>
        <w:t xml:space="preserve">Quelle: </w:t>
      </w:r>
      <w:r>
        <w:t>https://mcp.opencaselaw.ch/entscheid/vd_findinfo_D_cision___2016___304</w:t>
      </w:r>
    </w:p>
    <w:p>
      <w:r>
        <w:t>FR: VD_FINDINFO Décision / 2016 / 304 du 12 avril 2016</w:t>
      </w:r>
    </w:p>
    <w:p>
      <w:r>
        <w:t>IT: VD_FINDINFO Décision / 2016 / 304 del 12 aprile 2016</w:t>
      </w:r>
    </w:p>
    <w:p>
      <w:pPr>
        <w:pStyle w:val="Heading2"/>
      </w:pPr>
      <w:r>
        <w:t>Regeste</w:t>
      </w:r>
    </w:p>
    <w:p>
      <w:r>
        <w:t>EXPERTISE, ENFANT, INTÉRÊT DE L'ENFANT, PROCÉDURE PÉNALE, AUDITION DE L'ENFANT | 11 al. 1 Cst., 154 al. 4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par laquelle le Ministère public ordonne un complément d’expertise ou une nouvelle expertise (cf. art. 189 CPP) et définit les questions précises qu’il donne mandat à l’expert d’examiner (cf. art. 184 al. 2 let. c CPP) est ainsi susceptible de recours selon les art. 393 ss CPP (CREP 22 janvier 2016/22 ; CREP 28 avril 2015/284).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il y a lieu d’entrer en matière sur le recours, qui a été interjeté en temps utile devant l’autorité compétente, par la plaignante B.Z.________ qui a la qualité pour recourir (art. 382 al. 1 CPP), et qui satisfait aux conditions de forme énumérées par l’art. 385 al. 1 CPP.</w:t>
      </w:r>
    </w:p>
    <w:p>
      <w:r>
        <w:rPr>
          <w:b/>
        </w:rPr>
        <w:t>E. 2.1</w:t>
      </w:r>
    </w:p>
    <w:p>
      <w:r>
        <w:t>La recourante soutient que les conditions posées par l’art. 189 CPP pour la mise en œuvre d’un complément d’expertise ne seraient pas remplies.</w:t>
      </w:r>
    </w:p>
    <w:p>
      <w:r>
        <w:rPr>
          <w:b/>
        </w:rPr>
        <w:t>E. 2.2.1</w:t>
      </w:r>
    </w:p>
    <w:p>
      <w:r>
        <w:t>En vertu de l’art. 189 CPP, la direction de la procédure fait compléter ou clarifier une expertise, d’office ou à la demande d’une partie, lorsque celle-ci est incomplète ou peu claire (let. a), que plusieurs experts divergent notablement dans leurs conclusions (let. b) ou que l’exactitude de l’expertise est mise en doute (let. c). Pour ce faire, la direction de la procédure peut s’adresser au même expert ou désigner un nouvel expert. Il ne s’agit pas ici d’une nouvelle expertise car la clarification ou le complément porte sur le même objet (Moreillon/Parein-Reymond, Petit commentaire, Code de procédure pénale, Bâle 2013, nn. 1 ss ad art. 189 CPP et les références citées).</w:t>
      </w:r>
    </w:p>
    <w:p>
      <w:r>
        <w:rPr>
          <w:b/>
        </w:rPr>
        <w:t>E. 2.2.2</w:t>
      </w:r>
    </w:p>
    <w:p>
      <w:r>
        <w:t>Aux termes de l’art. 11 al. 1 Cst. (Constitution fédérale de la Confédération suisse du 18 avril 1999 ; RS 101), les enfants et les jeunes ont droit à une protection particulière de leur intégrité physique et psychique et à la liberté de mouvement. En procédure pénale, cette disposition constitutionnelle est concrétisée en particulier par l’art. 154 CPP, qui prévoit des mesures spéciales visant à protéger les enfants. Ainsi notamment, s’il est à prévoir que l’audition ou la confrontation pourrait entraîner une atteinte psychique grave de l’enfant, une confrontation de l’enfant avec le prévenu est exclue sauf si l’enfant demande expressément la confrontation ou que le droit du prévenu d’être entendu ne peut être garanti autrement (art. 154 al. 4 let. a CPP). L’enfant ne doit par ailleurs en principe pas être soumis à plus de deux auditions sur l’ensemble de la procédure (art. 154 al. 4 let. b CPP), une seconde audition étant organisée si, lors de la première, les parties n’ont pas pu exercer leurs droits, ou si cela est indispensable au bon déroulement de l’enquête ou à la sauvegarde de l’intérêt de l’enfant ; dans la mesure du possible, elle est menée par la personne qui a procédé à la première audition (art. 154 al. 4 let. c CPP). Lorsque l’enfant a le statut de victime dans la procédure, l’art. 154 CPP trouve application dans son intégralité ; en revanche, par renvoi de l’art. 149 al. 4 CPP, si l’enfant a le statut de témoin ou de personne appelée à donner des renseignements, seuls les art. 154 al. 2 et 4 CPP s’appliquent (Moreillon/Parein-Reymond, op. cit., n. 2 ad art. 154 CPP).</w:t>
      </w:r>
    </w:p>
    <w:p>
      <w:r>
        <w:rPr>
          <w:b/>
        </w:rPr>
        <w:t>E. 2.3</w:t>
      </w:r>
    </w:p>
    <w:p>
      <w:r>
        <w:t>En l’espèce, le rapport de l’expertise réalisée par E.________, rédigé d’une manière précise et détaillée, relève d’une démarche scientifique sérieuse et ses conclusions – qui vont dans le même sens que celles du premier expert consulté – sont claires. Dans son rapport, l’experte relève à réitérées reprises qu’il a été renoncé à une confrontation entre le prévenu et son fils, l’enfant C.Z.________, pour le bien-être de ce dernier, qui souffre encore à ce jour de stress post-traumatique en lien avec la violence à laquelle il a été confronté. A cet égard, on ne voit par ailleurs pas en quoi l’audition de C.Z.________ en présence de son père pourrait avoir une quelconque pertinence pour évaluer la crédibilité de déclarations faites par l’enfant lors de l’ouverture de la procédure préliminaire, soit il y a plus de trois ans. A la lecture du rapport, on ne voit pas non plus en quoi les arguments soulevés par le prévenu quant à une prétendue instrumentalisation de l’enfant par sa mère justifieraient l’utilité d’un complément d’expertise, l’experte relevant expressément dans son rapport que « le jeune garçon s’exprime librement, sans inhibition ni discordance idéo-affective ou idéo-comportementale » (cf. rapport, p. 12). La position exprimée par l’experte dans son courrier du 5 février 2016, qui « accepte » de réaliser le complément d’expertise requis par le prévenu, ne peut à cet égard pas être comprise comme une recommandation de la part de l’experte, ni comme une mesure qu’elle préconise. De fait, dans ces circonstances, les conditions d’un complément d’expertise au sens de l’art. 189 CPP ne sont pas remplies. Une confrontation devant l’experte, outre qu’elle est inutile, pourrait au demeurant être préjudiciable à l’intérêt de l’enfant C.Z.________. Il est en effet du devoir de toute autorité, y compris pénale, de veiller au respect des garanties constitutionnelles conférées spécifiquement aux enfants, qui ont droit à une protection particulière de leur intégrité et à l’encouragement de leur développement (cf. art. 11 al. 1 Cst.). Du reste, l’art. 154 al. 4 CPP, applicable à l’enfant témoin d’infractions, exclut toute confrontation avec le prévenu contre la volonté de l’enfant et toute multiplication d’auditions d’enfants en lien avec un procès pénal, étant précisé qu’en l’état de la procédure en cours, le droit d’être entendu du prévenu est suffisamment garanti par la possibilité de se déterminer sur les expertises réalisées et de requérir l’administration de preuves qu’il estime utiles. Il s’ensuit qu’il n’y a, en l’état, pas lieu d’ordonner un complément d’expertise au sens l’art. 189 CPP.</w:t>
      </w:r>
    </w:p>
    <w:p>
      <w:r>
        <w:rPr>
          <w:b/>
        </w:rPr>
        <w:t>E. 3</w:t>
      </w:r>
    </w:p>
    <w:p>
      <w:r>
        <w:t>Il résulte de ce qui précède que le recours doit être admis et l’ordonnance entreprise annulée. Les frais de la procédure de recours, constitués en l’espèce de l’émolument d'arrêt, par 990 fr. (art. 20 al. 1 TFIP [tarif des frais de procédure et indemnités en matière pénale du 28 septembre 2010; RSV 312.03.1]), et des frais imputables d’une part à la défense d’office (art. 422 al. 1 et 2 let. a CPP), fixés à 540 fr., plus la TVA, par 43 fr. 20, soit un total de 583 fr. 20, et d’autre part à l’assistance judiciaire gratuite pour la partie plaignante, fixés à 540 fr., plus la TVA, par 43 fr. 20, soit un total de 583 fr. 20, seront mis à la charge dA.Z.________ qui, ayant conclu au rejet du recours, succombe (art. 428 al. 1 CPP). Par ces motifs, la Chambre des recours pénale prononce : I. Le recours est admis. II. L’ordonnance du 15 février 2016 est annulée. III. L’indemnité allouée à Me Carole Wahlen, conseil juridique gratuit de B.Z.________, est fixée à 583 fr. 20 (cinq cent huitante-trois francs et vingt centimes). IV. L’indemnité allouée à Me Laurent Maire, défenseur d’office d’A.Z.________, est fixée à 583 fr. 20 (cinq cent huitante-trois francs et vingt centimes). V. Les frais d’arrêt, par 990 fr. (neuf cent nonante francs), ainsi que l’indemnité allouée au conseil juridique gratuit de B.Z.________, par 583 fr. 20 (cinq cent huitante-trois francs et vingt centimes) et celle due au défenseur d’office d’A.Z.________, par 583 fr. 20 (cinq cent huitante-trois francs et vingt centimes), sont mis à la charge de ce dernier. VI. Le remboursement à l’Etat des indemnités allouées aux chiffres III et IV ci-dessus ne sera exigible que pour autant que la situation économique d’A.Z.________ se soit améliorée. VII. L’arrêt est exécutoire. Le président :               Le greffier : Du Le présent arrêt, dont la rédaction a été approuvée à huis clos, est notifié, par l'envoi d'une copie complète, à : - Me Carole Wahlen, avocate (pour Mme B.Z.________), - Me Laurent Maire, avocat (pour M. A.Z.________), - Ministère public central ; et communiqué à : - Mme la Procureure de l’arrondissement de La Côte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