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 vom 21. Dezember 2015</w:t>
      </w:r>
    </w:p>
    <w:p>
      <w:r>
        <w:t>VD Tribunal cantonal, 2015-12-21, FR</w:t>
      </w:r>
    </w:p>
    <w:p>
      <w:r>
        <w:rPr>
          <w:b/>
        </w:rPr>
        <w:t xml:space="preserve">Quelle: </w:t>
      </w:r>
      <w:r>
        <w:t>https://mcp.opencaselaw.ch/entscheid/vd_findinfo_D_cision___2016___3</w:t>
      </w:r>
    </w:p>
    <w:p>
      <w:r>
        <w:t>FR: VD_FINDINFO Décision / 2016 / 3 du 21 décembre 2015</w:t>
      </w:r>
    </w:p>
    <w:p>
      <w:r>
        <w:t>IT: VD_FINDINFO Décision / 2016 / 3 del 21 dicembre 2015</w:t>
      </w:r>
    </w:p>
    <w:p>
      <w:pPr>
        <w:pStyle w:val="Heading2"/>
      </w:pPr>
      <w:r>
        <w:t>Regeste</w:t>
      </w:r>
    </w:p>
    <w:p>
      <w:r>
        <w:t>DÉCISION D'IRRECEVABILITÉ, ADMISSION PARTIELLE, ESCROQUERIE, ABUS DE CONFIANCE, GESTION DÉLOYALE, ACTE PRÉPARATOIRE{DROIT PÉNAL}, ASSASSINAT | 138 CP, 146 CP, 158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interjeté dans le délai légal auprès de l’autorité compétente par les plaignants qui ont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w:t>
      </w:r>
    </w:p>
    <w:p>
      <w:r>
        <w:rPr>
          <w:b/>
        </w:rPr>
        <w:t>E. 5</w:t>
      </w:r>
    </w:p>
    <w:p>
      <w:r>
        <w:t>avril 2012 consid. 2.1; TF 1B_67/2012 du 29 mai 2012 consid. 2.2). Des motifs de fait peuvent également justifier la non-entrée en matière selon l’art. 310 al. 1 let. a CPP ; il s’agit des cas où la preuve d’une infraction, soit de la réalisation en fait de ses éléments constitutifs, n’est pas apportée par les pièces dont dispose le Ministère public (Cornu, op. cit., n. 9 ad art. 310 CPP; CREP 23 novembre 2011/517 consid. 2a), ou encore des cas où l'identité de l'auteur de l'infraction ne peut vraisemblablement pas être établie (TF 1B_67/2012 du 29 mai 2012 consid. 3.2). Dans de tels cas, le procureur doit examiner si une enquête, sous une forme ou sous une autre, serait en mesure d’apporter des éléments susceptibles de renforcer les charges contre la personne visée ou d’établir l’identité de l’auteur de l’infraction ; ce n’est que si aucun acte d’enquête raisonnable ne paraît pouvoir amener des éléments utiles qu’il peut rendre une ordonnance de non-entrée en matière (Cornu, op. cit., n. 9 ad art. 310 CPP; TF 1B_67/2012 du 29 mai 2012 consid. 3.2; CREP 23 novembre 2011/517 consid. 2a). En cas de doute sur la possibilité d’apporter ultérieurement la preuve des faits en question, la non-entrée en matière est exclue (Cornu, op. cit., n. 9 ad art. 310 CPP; Nathan Landshut, in : Donatsch/Hansjakob/ Lieber [éd.], Kommentar zur Schweizerischen Strafprozessordnung, 2e éd., Zurich/Bâle 2014, n. 5 ad art. 310 CPP; Message du Conseil fédéral relatif à l’unification du droit de la procédure pénale du 21 décembre 2005, FF 2006 pp. 1057 ss, spéconsid. 1248; CREP 23 novembre 2011/517 consid. 2a).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(art. 309 CPP) qui devra être close par une ordonnance de classement dans la mesure où une condamnation apparaît très vraisemblablement exclue (cf. ATF 138 IV 86 consid. 4.1.1; TF 1B_272/2011 du 22 mars 2012 consid. 3.1.1). 3. Les recourants considèrent tout d’abord qu’en retenant qu’ils tentaient d’obtenir par la voie pénale ce que les juges neuchâtelois des mesures provisionnelles leur avaient refusé par la voie civile (à savoir notamment le blocage des actions de la société Y.________ sur la base de l’interprétation du contrat de vente des actions), alors que leur plainte tendrait en réalité à démontrer qu’ils avaient été victimes d’escroquerie, de faux dans les titres et de gestion déloyale dans le cadre d’un décompte de liquidation d’une société simple, l’ordonnance du procureur reposerait sur une prémisse erronée et devrait, de ce fait, être annulée (recours, points 2 et 6). 3.1 D'après l'art. 393 al. 2 CPP, le recours peut être formé pour violation du droit, y compris l'excès et l'abus du pouvoir d'appréciation, le déni de justice et le retard injustifié (let. a), pour constatation incomplète ou erronée des faits (let. b) et pour inopportunité (let. c). Il y a excès du pouvoir d'appréciation lorsque l’autorité s'arroge un pouvoir d'appréciation que la loi ne lui accorde pas et il y a abus du pouvoir d'appréciation lorsque l’autorité, tout en restant dans le cadre du pouvoir que la loi lui donne, s'inspire de considérations non pertinentes, étrangères au but de la loi ou agit de façon contraire à l'égalité de traitement ou de manière arbitraire (Marc Rémy, in : Commentaire romand, Code de procédure pénale suisse, Bâle 2011, n. 16 ad art. 393 CPP). 3.2 En l’espèce, s’il est vrai que le procureur a d’emblée relevé que la cause présentait un aspect civil prépondérant et en a conclu que par la requête de séquestre contenue dans sa plainte pénale, P.________ cherchait selon toute vraisemblance à obtenir par la voie pénale ce qu’il avait échoué à obtenir par la voir civile (ordonnance attaquée, p. 7 let. B.), il ne s’est toutefois pas limité à cette simple affirmation. En effet, il a ensuite longuement exposé les motifs pour lesquels il considérait qu’aucune des infractions pénales dénoncées, à savoir l’escroquerie, le faux dans les titres, l’abus de confiance et la gestion déloyale, n’étaient réalisées dans le cas d’espèce (ordonnance attaquée, p. 9 à 11). Il ne s’est ainsi nullement mépris sur le but poursuivi par les recourants. Sa façon de procéder ne prête ainsi pas le flanc à la critique. Mal fondé, ce grief doit être rejeté. 4. 4.1 Ensuite, les recourants reprochent au procureur d’avoir méconnu la portée de la pièce 76 qu’ils qualifient de pièce centrale, respectivement d’épicentre de toute l’affaire. Ce document, établi par U.________, serait imprécis, erroné et incomplet. Il s’agirait d’un faux dans les titres (faux intellectuel), qui aurait directement servi à la formation de la tromperie astucieuse dans le but de commettre une escroquerie (recours, points 4 et 5). 4.2 4.2.1 A teneur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Si l'auteur fait métier de l'escroquerie, la peine sera une peine privative de liberté de dix ans au plus ou une peine pécuniaire de 90 jours-amende au moins (al. 2). L'escroquerie commise au préjudice des proches ou des familiers ne sera poursuivie que sur plainte (al. 3).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p. 264; 128 IV 18 consid. 3a p. 20). 4.2.2 4.2.2.1 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 4.2.2.2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4.2.2.3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(Code des obligations ; RS 220)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ATF 125 IV 273 consid. 3a). 4.3 En l’espèce, la pièce 76 est un document intitulé « L’ordre chronologique des transactions financières ». Selon les recourants, il s’agirait d’un décompte de liquidation de la société simple qui existait entre P.________ et G.________. Il a été établi par U.________, qui l’a présenté à P.________, en même temps que d’autres documents pour signature, le 13 mai 2013. Dans leur plainte pénale du 1 er mai 2015, les recourants ont eux-mêmes relevé le contexte de méfiance et d’exaspération qui avait amené P.________ à vouloir mettre un terme à toute collaboration avec la famille [...] (P. 4, p. 9 n° 80 notamment). P.________ avait du reste pris soin de recourir à son propre avocat pour préparer les conventions nécessaires à finaliser la liquidation de leurs rapports. Ce sont d’ailleurs ces documents qui devaient en principe être signés le 13 mai 2013. Avec le procureur, on comprend dès lors mal les raisons pour lesquelles P.________ a accepté de signer les documents, et notamment la pièce 76, qui lui ont finalement été soumis par U.________, le jour prévu pour la signature des documents préparés par son avocat, sans procéder à la moindre vérification, respectivement sans en référer à son conseil. Vu le contexte tendu, on pouvait en effet raisonnablement attendre de lui qu’il vérifie l’exactitude des documents qui lui étaient soumis pour signature. La pièce 76, à supposer qu’elle soit effectivement imprécise, inexacte ou lacunaire comme le soutiennent les recourants, constituerait donc tout au plus un mensonge écrit non punissable et pas un faux intellectuel, faute de valeur probante accrue découlant de la loi ou des circonstances concrètes (cf. CREP 2 octobre 2015/642). Partant, c’est à juste titre que le procureur a considéré que les conditions de réalisation de l’infraction de faux dans les titres n’étaient pas réalisées. S’agissant de l’infraction d’escroquerie, elle est également clairement exclue, l’astuce ne pouvant à l’évidence pas être retenue en raison de l’absence de vérification du contenu des documents par le plaignant. Ce grief est donc infondé.</w:t>
      </w:r>
    </w:p>
    <w:p>
      <w:r>
        <w:rPr>
          <w:b/>
        </w:rPr>
        <w:t>E. 5.1</w:t>
      </w:r>
    </w:p>
    <w:p>
      <w:r>
        <w:t>Les recourants reprochent encore au procureur de ne pas avoir envisagé la réalisation des infractions de gestion déloyale, respectivement d’abus de confiance (recours, point 4, p. 5 § 4 et 9, plainte, p. 24 et 25). Ils considèrent en particulier avoir clairement établi que l’administrateur de A.C.________ et W.________ aurait vidé ces deux sociétés de leur substance.</w:t>
      </w:r>
    </w:p>
    <w:p>
      <w:r>
        <w:rPr>
          <w:b/>
        </w:rPr>
        <w:t>E. 5.2.1</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(Corboz, op. cit.,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(ATF 129 IV 257 consid. 2.2.1; ATF 121 IV 23 consid. 1c; ATF 119 IV 127 consid. 2). Du point de vue subjectif, l'auteur doit avoir agi intentionnellement et, même si la loi ne le dit pas expressément, dans un dessein d'enrichissement illégitime. Le dessein d'enrichissement peut être réalisé par dol éventuel (ATF 118 IV 32 consid. 2a).</w:t>
      </w:r>
    </w:p>
    <w:p>
      <w:r>
        <w:rPr>
          <w:b/>
        </w:rPr>
        <w:t>E. 5.2.2</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op. cit.,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consid. 2b). Il convient donc d’examiner de manière concrète si les actes de gestion reprochés violaient un devoir de gestion spécifique. Les devoirs de gestion ou de sauvegarde qui déterminent le comportement délictueux sont déterminés par les obligations imposées au gérant. Ces obligations sont d’abord définies par la loi, mais peuvent aussi l’être par les statuts, les règlements ou les décisions de l’assemblée générale pour ce qui est d’une société anonyme.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Par ailleurs, un préjudice temporaire suffit (ATF 122 IV 279 consid. 2a; ATF 121 IV 104 consid. 2c; ATF 120 IV 122 consid. 6b/bb). Il n’est pas nécessaire que le dommage corresponde à l’enrichissement de l’auteur, ni qu’il soit chiffré; il suffit qu’il soit certain (ATF 123 IV 17 consid. 3d). L’infraction est consommée lorsque l’auteur a causé un dommage au patrimoine qu’il devait protéger (Corboz, op. cit., ibid.).</w:t>
      </w:r>
    </w:p>
    <w:p>
      <w:r>
        <w:rPr>
          <w:b/>
        </w:rPr>
        <w:t>E. 5.2.3</w:t>
      </w:r>
    </w:p>
    <w:p>
      <w:r>
        <w:t>Pour certains, le patrimoine commercial d’une société ne saurait être considéré comme confié au sens de l’art. 138 CP à ses organes, au motif que les organes d’une société ne sont pas des tiers vis-à-vis de la société, mais une partie de cette dernière. Seul l’art. 158 CP entrerait dès lors en ligne de compte en cas de détournement commis au préjudice de la société par les organes ou membres d’organes (Niggli/Riedo, in : Niggli/Wiprächtiger, Basler Kommentar, Strafrecht II, 3 e éd., Bâle 2013, n. 34 ss ad art. 138 CP). Pour d’autres, une telle optique paraît toutefois réductrice. L’identité de l’organe et de la société doit certes être reconnue dans les rapports externes. Si l’on se focalise en revanche sur les rapports internes, il faut admettre que la personne physique qui endosse la qualité d’organe de la société est liée à celle-ci par des rapports contractuels qui sont ceux de deux personnes distinctes. Or, de tels rapports contractuels impliqueront en principe le transfert par la société d’un pouvoir matériel et juridique de disposer du patrimoine commercial à la personne physique appelée à en devenir l’organe. Partant, il ne paraît pas exclu, a priori, de parler de valeurs patrimoniales confiées dans ce contexte (Dupuis et al. [éd.], Petit commentaire, Code pénal, Bâle 2012, n. 38 ad art. 138 CP).</w:t>
      </w:r>
    </w:p>
    <w:p>
      <w:r>
        <w:rPr>
          <w:b/>
        </w:rPr>
        <w:t>E. 5.3</w:t>
      </w:r>
    </w:p>
    <w:p>
      <w:r>
        <w:t>En l’espèce, dans leur plainte du 1 er mai 2015, les recourants soutenaient que la libération de la totalité du capital-actions (300'000 fr.) de la société A.C.________, fondée le 27 novembre 2012, avait été permise par le prélèvement de la somme correspondante sur un compte appartenant à G.________ et que la libération de la totalité du capital-actions de la société W.________, fondée le 21 mars 2013, avait été permise par le prélèvement de la somme correspondante sur le compte de la société A.C.________. Ils soutenaient en outre que U.________, en sa qualité d’administrateur unique des deux sociétés, avait fait reverser, le 15 mai 2013, la somme de 99'500 fr. par W.________ à A.C.________ et, le 18 mai 2015, la somme de 294'000 fr. par A.C.________ à G.________. Ces différents transferts d’argent sont documentés par pièces (P. 4/2/52 à 58) sous réserve du prélèvement initial sur le compte de G.________. Un tel procédé pourrait contrevenir à l’interdiction de remboursement des apports prévu par l’art. 680 al. 2 CO et par voie de conséquence tomber sous le coup d’une gestion déloyale, voire d’un abus de confiance (cf. supra 5.2.3 in fine ). Dans ces conditions, la réalisation d’une infraction pénale ne pouvant sur ce point précis être d’emblée exclue, il est nécessaire que le procureur ouvre une instruction conformément à l'art. 309 CPP et instruise cette question.</w:t>
      </w:r>
    </w:p>
    <w:p>
      <w:r>
        <w:rPr>
          <w:b/>
        </w:rPr>
        <w:t>E. 6</w:t>
      </w:r>
    </w:p>
    <w:p>
      <w:r>
        <w:t>En définitive, le recours doit être partiellement admis et l’ordonnance de non-entrée en matière annulée en tant qu’elle concerne les infractions de gestion déloyale et d’abus de confiance, le dossier de la cause étant renvoyé au procureur pour qu’il procède dans le sens des considérants. L’ordonnance sera confirmée pour le surplus. Les frais de la procédure de recours, constitués en l’espèce de l’émolument d’arrêt (art. 422 al. 1 CPP), par 2’200 fr. (art. 20 al. 1 TFIP [tarif des frais de procédure et indemnités en matière pénale du 28 septembre 2010 ; RSV 312.03.1]) seront, au vu du sort de la cause, mis par moitié à la charge des recourants, qui succombent en partie, à parts égales et solidairement entre eux (art. 418 al. 1 et 2 CPP), le solde étant laissé à la charge de l’Etat (art. 423 et 428 al. 1 CPP). Par ces motifs, la Chambre des recours pénale prononce : I. Le recours est partiellement admis. II. L’ordonnance du 4 août 2015 est annulée en tant qu’elle concerne les infractions de gestion déloyale et d’abus de confiance et le dossier de la cause est renvoyé au Ministère public central, division criminalité économique et entraide judiciaire pour qu’il procède dans le sens des considérants. III. L’ordonnance est confirmée pour le surplus. IV. Les frais de la procédure de recours, par 2’090 fr. (deux mille nonante francs), sont mis par moitié à la charge de A.C.________ et W.________, à part égales, soit 348 fr. 35 (trois cent quarante-huit francs et trente-cinq centimes) chacun, solidairement entre eux, le solde, par 1’045 fr. (mille quarante-cinq francs) étant laissé à la charge de l’Etat. V. Le présent arrêt est exécutoire. Le président :               La greffière : Du Le présent arrêt, dont la rédaction a été approuvée à huis clos, est notifié, par l'envoi d'une copie complète, à : - Me Cédric Aguet, avocat (pour P.________, A.C.________ et W.________),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