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294 vom 4. Mai 2016</w:t>
      </w:r>
    </w:p>
    <w:p>
      <w:r>
        <w:t>VD Tribunal cantonal, 2016-05-04, FR</w:t>
      </w:r>
    </w:p>
    <w:p>
      <w:r>
        <w:rPr>
          <w:b/>
        </w:rPr>
        <w:t xml:space="preserve">Quelle: </w:t>
      </w:r>
      <w:r>
        <w:t>https://mcp.opencaselaw.ch/entscheid/vd_findinfo_D_cision___2016___294</w:t>
      </w:r>
    </w:p>
    <w:p>
      <w:r>
        <w:t>FR: VD_FINDINFO Décision / 2016 / 294 du 4 mai 2016</w:t>
      </w:r>
    </w:p>
    <w:p>
      <w:r>
        <w:t>IT: VD_FINDINFO Décision / 2016 / 294 del 4 maggio 2016</w:t>
      </w:r>
    </w:p>
    <w:p>
      <w:pPr>
        <w:pStyle w:val="Heading2"/>
      </w:pPr>
      <w:r>
        <w:t>Regeste</w:t>
      </w:r>
    </w:p>
    <w:p>
      <w:r>
        <w:t>RISQUE DE RÉCIDIVE | 221 al. 1 let. c CPP (CH)</w:t>
      </w:r>
    </w:p>
    <w:p>
      <w:pPr>
        <w:pStyle w:val="Heading2"/>
      </w:pPr>
      <w:r>
        <w:t>Erwägungen</w:t>
      </w:r>
    </w:p>
    <w:p>
      <w:r>
        <w:rPr>
          <w:b/>
        </w:rPr>
        <w:t>E. 1</w:t>
      </w:r>
    </w:p>
    <w:p>
      <w:r>
        <w:t>. 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18 décembre 2015/850; CREP 12 février 2015/111; CREP 7 février 2011/14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 Les conclusions du recours portent aussi bien sur le rejet de la demande de libération de la détention provisoire présentée par la prévenue selon l’art. 228 al. 1 CPP que sur l’admission de la demande de nouvelle prolongation de la détention provisoire, pour une durée de trois mois à compter du 29 avril 2016.</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w:t>
      </w:r>
    </w:p>
    <w:p>
      <w:r>
        <w:rPr>
          <w:b/>
        </w:rPr>
        <w:t>E. 2.2</w:t>
      </w:r>
    </w:p>
    <w:p>
      <w:r>
        <w:t>En l’espèce, les soupçons dirigés contre la prévenue sont corroborés par les déclarations concordantes des témoins des faits ainsi que par la présence du couteau de cuisine découvert sur les lieux. Renvoi soit à cet égard au rapport d’enquête du 7 mars 2016 (P. 159 et 163). La recourante ne conteste du reste pas matériellement ces soupçons. Plaidant de fait le fond (recours, ch. 3.3, pp. 7 in fine), elle met cependant en cause l’intention retenue à sa charge. Elle semble soutenir ne s’être rendue coupable que de tentative de meurtre passionnel au sens de l’art. 113 CP (Code pénal; RS 311.0). Sur ce point, il y a lieu de retenir, à ce stade, que le Procureur n’a pas modifié le chef de prévention, alors même que l’instruction est terminée. Pour le reste, la Cour de céans ne saurait par ailleurs préjuger de la qualification des faits incriminés. Au vu des éléments qui précèdent, il existe, à ce stade de la procédure, des indices matériels suffisamment sérieux de culpabilité à l’encontre de la prévenue pour justifier sa mise en détention provisoire.</w:t>
      </w:r>
    </w:p>
    <w:p>
      <w:r>
        <w:rPr>
          <w:b/>
        </w:rPr>
        <w:t>E. 3.1</w:t>
      </w:r>
    </w:p>
    <w:p>
      <w:r>
        <w:t>La recourante conteste l’existence du risque de récidive, soit de réitération (art. 221 al. 1 let. c CPP), retenu par le premier juge.</w:t>
      </w:r>
    </w:p>
    <w:p>
      <w:r>
        <w:rPr>
          <w:b/>
        </w:rPr>
        <w:t>E. 3.2</w:t>
      </w:r>
    </w:p>
    <w:p>
      <w:r>
        <w:t>Pour retenir un risque de récidive, le pronostic doit être très défavorable et les délits dont la réitération est redoutée doivent être graves (ATF 137 IV 84 consid. 4.5, JdT 2011 IV 325; ATF 135 I 71 consid. 2.3; ATF 133 I 270 consid. 2.2 et les arrêts cités, JdT 2011 IV 3; TF 1B_39/2013 du 14 février 2013 consid. 2.1;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TF 1B_39/2013 cité).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3.3</w:t>
      </w:r>
    </w:p>
    <w:p>
      <w:r>
        <w:t>En l’espèce, le premier juge a relevé vouloir bien admettre que les choses aient pu évoluer, dans une certaine mesure, depuis le placement de la prévenue en détention. Il a cependant ajouté que divers éléments lui faisaient craindre que l’intéressé puisse se retrouver rapidement, en cas de libération, dans un état d’esprit se rapprochant de celui qui était le sien au moment des faits litigieux et que le contexte de l’époque refasse surface, au point que le risque de réitération se concrétise. Le premier juge a ainsi estimé que la recourante n’exprimait que peu de regrets, qu’elle s’étendait sur certains actes annexes aux faits litigieux (ainsi sa mention d’un risque de diffamation de la part de la victime [PV aud. du 19 avril 2016, lignes 33-37]) et qu’un litige civil l’opposait encore à son mari, qui est toujours en couple avec la victime. Pour sa part, la recourante se prévaut de l’expertise et du rapport complémentaire pour soutenir que le risque de réitération serait faible, que l’acte avait été commis dans un moment spécifique, qu’elle pouvait s’appuyer sur des amis prêts à l’héberger gracieusement et qu’elle disposerait d’une possibilité concrète de retour à la vie professionnelle, un employeur potentiel s’étant déclaré prêt à l’engager. Les craintes du premier juge trouvent appui dans les faits de la cause. Il ressort en particulier de son audition par le premier juge que la prévenue peine encore à appréhender la portée des faits litigieux et se perçoit comme victime, à tout le moins potentiellement, dans une mesure supérieure à l’infidélité conjugale dont elle a à souffrir. Le risque de réitération existe donc. Certes, les experts peuvent paraître rassurants, mais l’acte incriminé a visé la vie de la victime, soit un bien juridiquement hautement protégé. Le mode opératoire témoigne d’une brutalité inquiétante, ce d’autant que l’acte incriminé semble avoir été précédé d’appels importuns à la victime. Ajoutée au peu de résipiscence de l’intéressée, cette gravité commande une particulière retenue quant au risque de réitération. Au vu des éléments qui précèdent, le risque de réitération est concret et justifie la poursuite de la détention provisoire de la recourante.</w:t>
      </w:r>
    </w:p>
    <w:p>
      <w:r>
        <w:rPr>
          <w:b/>
        </w:rPr>
        <w:t>E. 3.4</w:t>
      </w:r>
    </w:p>
    <w:p>
      <w:r>
        <w:t>Enfin, force est de constater qu’aucune mesure de substitution n’apparaît de nature à prévenir efficacement le risque de réitération. La recourante se déclare certes disposée à déposer son passeport français, soit le seul document de voyage dont elle dispose, ainsi qu’à « (donner) suite à toute mesure de substitution qui pourra[it] être ordonnée pour garantir la bonne exécution de la libération provisoire » (recours, ch. 3.6 p. 9). Ces offres sont toutefois trop imprécises pour suffire à parer au risque de réitération. La remise du document de voyage ne concerne du reste que le risque de fuite. Pour le reste, la recourante n’offre aucune garantie qu’une assignation à résidence ou l'interdiction de se rendre dans un certain lieu ou un certain immeuble (art. 237 al. 2 let. c CPP) ou l'interdiction d'entretenir des relations avec certaines personnes (art. 237 al. 2 let. g CPP) puissent prévenir une réaction passionnelle violente de sa part, en particulier au détriment de sa victime.</w:t>
      </w:r>
    </w:p>
    <w:p>
      <w:r>
        <w:rPr>
          <w:b/>
        </w:rPr>
        <w:t>E. 4</w:t>
      </w:r>
    </w:p>
    <w:p>
      <w:r>
        <w:t>Les conditions de l’art. 221 al. 1 CPP étant alternatives (TF 1B_249/2011 du 7 juin 2011 consid. 2.4), l’existence d’un risque de réitération suffit à justifier la détention provisoire.</w:t>
      </w:r>
    </w:p>
    <w:p>
      <w:r>
        <w:rPr>
          <w:b/>
        </w:rPr>
        <w:t>E. 5</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En l’espèce, la recourante est détenue depuis le 29 janvier 2015. Compte tenu de la gravité des infractions qui lui sont reprochées, elle s'expose à une peine d’une durée supérieure à celle de la détention provisoire subie à ce jour, respectivement à subir jusqu’au 29 juillet 2016. Le principe de la proportionnalité demeure donc respecté.</w:t>
      </w:r>
    </w:p>
    <w:p>
      <w:r>
        <w:rPr>
          <w:b/>
        </w:rPr>
        <w:t>E. 6</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2 let. a CPP), fixés à 540 fr., plus la TVA par 43 fr. 20, soit 583 fr. 20 au total,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19 avril 2016 est confirmée. III. L’indemnité allouée au défenseur d’office de S.________ est fixée à 583 fr. 20 (cinq cent huitante-trois francs et vingt centimes). IV. Les frais d’arrêt, par 990 fr. (neuf cent nonante francs), ainsi que l'indemnité allouée au défenseur d'office de S.________, par 583 fr. 20 (cinq cent huitante-trois francs et vingt centimes), sont mis à la charge de cette dernière. V. Le remboursement à l'Etat de l'indemnité allouée au chiffre III ci-dessus sera exigible pour autant que la situation de S.________ se soit améliorée. VI. L’arrêt est exécutoire. Le président :               Le greffier : Du Le présent arrêt, dont la rédaction a été approuvée à huis clos, est notifié, par l'envoi d'une copie complète, à : - Me Nicolas Perret, avocat (pour S.________),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