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289 vom 2. Mai 2016</w:t>
      </w:r>
    </w:p>
    <w:p>
      <w:r>
        <w:t>VD Tribunal cantonal, 2016-05-02, FR</w:t>
      </w:r>
    </w:p>
    <w:p>
      <w:r>
        <w:rPr>
          <w:b/>
        </w:rPr>
        <w:t xml:space="preserve">Quelle: </w:t>
      </w:r>
      <w:r>
        <w:t>https://mcp.opencaselaw.ch/entscheid/vd_findinfo_D_cision___2016___289</w:t>
      </w:r>
    </w:p>
    <w:p>
      <w:r>
        <w:t>FR: VD_FINDINFO Décision / 2016 / 289 du 2 mai 2016</w:t>
      </w:r>
    </w:p>
    <w:p>
      <w:r>
        <w:t>IT: VD_FINDINFO Décision / 2016 / 289 del 2 maggio 2016</w:t>
      </w:r>
    </w:p>
    <w:p>
      <w:pPr>
        <w:pStyle w:val="Heading2"/>
      </w:pPr>
      <w:r>
        <w:t>Regeste</w:t>
      </w:r>
    </w:p>
    <w:p>
      <w:r>
        <w:t>LIBÉRATION CONDITIONNELLE, PRONOSTIC | 86 CP</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par renvoi de l’art.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de recours et satisfait aux conditions de forme posées par l’art. 385 al. 1 CPP, de sorte qu’il y a lieu d’entrer en matière.</w:t>
      </w:r>
    </w:p>
    <w:p>
      <w:r>
        <w:rPr>
          <w:b/>
        </w:rPr>
        <w:t>E. 2.1</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w:t>
      </w:r>
    </w:p>
    <w:p>
      <w:r>
        <w:rPr>
          <w:b/>
        </w:rPr>
        <w:t>E. 2.2</w:t>
      </w:r>
    </w:p>
    <w:p>
      <w:r>
        <w:t>En l’espèce, le recourant a atteint les deux tiers de sa peine le 14 avril 2016 et il s’est bien comporté en détention, selon le rapport de la direction des EPO du 5 janvier 2016. Il reste dès lors à examiner la question du pronostic quant à la conduite future du recourant.</w:t>
      </w:r>
    </w:p>
    <w:p>
      <w:r>
        <w:rPr>
          <w:b/>
        </w:rPr>
        <w:t>E. 2.3</w:t>
      </w:r>
    </w:p>
    <w:p>
      <w:r>
        <w:t>On rappelle que dans leur rapport du 4 avril 2011, les experts psychiatres ont posé à l’endroit du recourant le diagnostic de sadomasochisme et de personnalité dyssociale. Le risque de récidive était considéré comme élevé en raison de la tendance de l’intéressé à banaliser ses actes. Selon les experts, la nature des nouvelles infractions dépendrait en partie du nouveau contexte dans lequel le recourant allait évoluer. Il ressort des divers avis et évaluations figurant au dossier que le recourant non seulement banalise et minimise ses actes, mais aussi qu’il essaie régulièrement de les justifier. Il en va ainsi par exemple à propos du recours à des pinces électriques. L’intéressé fait preuve d’ambivalence quant à la responsabilité de ses actes. Il en va de même s’agissant de la peine qui lui a été infligée. L’ambivalence du recourant se manifeste également par rapport à sa femme, décrite à la fois comme une femme trompée et bafouée, mais qui au final cautionne les actes commis par son mari. Le recourant ne reconnaît que partiellement les victimes de ses passages à l’acte, l’avis du CIC relevant que l’intéressé n’a qu’une « reconnaissance formelle » de ses actes. La criminologue relève le côté narcissique du recourant, qui met davantage l’accent sur sa personne que sur les victimes et leur « reconstruction », ainsi que sa tendance à « sur-intellectualiser », qui doit être comprise dans le sens d’une forme de manipulation se traduisant par l’observation d’une discordance entre l’expression d’émotions « théâtralisées » et le discours. La criminologue estime, au travers des propos du recourant, que tant la poursuite de la psychothérapie que le risque de récidive ne dépendent pas uniquement de lui, mais de divers facteurs extérieurs. Enfin, le recourant a fait des déclarations contradictoires, devant le Juge d’application des peines : tout en qualifiant ses actes d’abominables et exprimant de l’empathie pour ses victimes, il considère dans le même temps avoir été trop sévèrement puni. L’Unité d’évaluation criminologique du Service pénitentiaire constate quant à elle que le recourant continue d’adopter un discours plaqué, un comportement séducteur, quelque peu théâtral et « minaudier » ainsi qu’un défaut des capacités d’élaboration, d’introspection et de mentalisation, notamment lorsqu’est abordée la problématique délictuelle. A l’instar de l’évaluation criminologique contenue dans le PES, elle retient un risque de récidive moyen, lequel ne doit toutefois pas être mésestimé, vu le fonctionnement psychique du condamné et la possibilité qu’il soit exposé à des situations d’emprise. Le risque n’est pas limité aux seules infractions contre l’intégrité sexuelle. Au vu de ce qui précède, c’est à juste titre que le juge d’application des peines a considéré que le risque de récidive retenu dans l’expertise de 2011 était toujours bien présent. La CIC a indiqué qu’il fallait attendre de la démarche d’observation prévue dans le PES la confirmation de l’engagement de l’intéressé dans son parcours de changement personnel ainsi que la réduction du risque criminologique qui pourrait en résulter. Or les constations faites lors de la troisième conduite du 13 janvier 2016 ne sont pas positives. Il résulte en substance du rapport établi à cette occasion que le recourant s’appuie beaucoup sur son entourage pour progresser dans l’exécution de sa peine et pour la réussite de son projet de resocialisation, qu’il ne semble pas avoir pris conscience des enjeux des conduites, qu’il continue de tester les limites en se montrant inadéquat avec les intervenants, que sa tolérance à la frustration a été mise à mal durant cette sortie et qu’il tente de semer la discorde entre les différentes unités du service. Au surplus, au vu des constatations des intervenants lors de cette dernière conduite (cf. consid. A.e), on peut émettre des doutes sur le caractère véritablement protecteur de l’entourage du recourant, en particulier de son épouse Y.________. La présence de celle-ci, qui se présente comme la personne ayant le plus souffert de ses agissements et contribue par là à entretenir l’absence de prise de conscience de la gravité de ses actes par son époux, ne peut être considérée comme l’élément nouveau principal indispensable à la reconstruction du recourant. Y.________ était en effet présente lorsque, dans le courant, du mois d’août 2010, son mari s’était livré à des attouchements sur P.________, élève du théâtre, âgée d’un peu plus de 16 ans, lui touchant la poitrine et lui décroisant les jambes afin qu’elle les garde écartées à la vue de tous (cf. jugement du 19 décembre 2013, pp. 31 et 41).</w:t>
      </w:r>
    </w:p>
    <w:p>
      <w:r>
        <w:rPr>
          <w:b/>
        </w:rPr>
        <w:t>E. 2.4</w:t>
      </w:r>
    </w:p>
    <w:p>
      <w:r>
        <w:t>En dépit des éléments positifs (bon comportement en détention, absence d’antécédents, alliance thérapeutique), dont le Juge d’application des peines n’a pas méconnu l’existence, contrairement à ce que soutient le recourant, les éléments défavorables mentionnés plus haut (risque de récidive, minimisation, banalisation et reconnaissance seulement formelle de ses actes, ambivalence par rapport aux victimes et à la peine infligée, traits de personnalité manipulatrice et narcissique) l’emportent. Ils ne permettent pas de s’écarter des avis exprimés par les divers intervenants, si bien qu’octroyer la liberté conditionnelle au recourant apparaît prématuré en l’état. Il importe de respecter les phases d’élargissement progressif du PES et de poursuivre l’observation de l’intéressé dans le cadre de nouvelles sorties accompagnées avant d’envisager des congés puis la libération conditionnelle. Enfin, le fait de se montrer prudent et exigeant quant au comportement futur du condamné ne signifie pas que la nature et la gravité des infractions dont la réitération est redoutée constituent l’unique critère ayant présidé à l’appréciation globale du Juge d’application des peines. La nature des infractions est l’un des éléments, parmi d’autres, dont il convient de tenir compte lorsqu’il s’agit d’émettre un pronostic.</w:t>
      </w:r>
    </w:p>
    <w:p>
      <w:r>
        <w:rPr>
          <w:b/>
        </w:rPr>
        <w:t>E. 3</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par 1’320 fr. (art. 20 al. 1 [Tarif des frais judiciaires de procédure et indemnités en matière pénale du 28 septembre 2010 ; RSV 312.03.1]) et des frais imputables à la défense d’office (art. 422 al. 1 et 2 let. a CPP), fixés à 900 fr., plus la TVA, par 72 fr, soit un total de 972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14 avril 2016 est confirmée. III. L’indemnité allouée au défenseur d’office de C.________ est fixée à 972 fr. (neuf cent septante-deux francs). IV. Les frais d’arrêt, par 1'320 fr. (mille trois cent vingt francs) ainsi que l’indemnité allouée au défenseur d’office de C.________, par 972 fr. (neuf cent septante-deux francs), sont mis à la charge de ce dernier. V. Le remboursement à l’Etat de l’indemnité allouée au chiffre III ci-dessus ne sera exigible que pour autant que la situation économique de C.________ se soit améliorée. VI. L’arrêt est exécutoire. Le président :               Le greffier : Du Le présent arrêt, dont la rédaction a été approuvée à huis clos, est notifié, par l'envoi d'une copie complète, à : - Me Laure-Anne Suter, avocate (pour C.________), - Ministère public central, et communiqué à : - M. le Juge d’application des peines, - M. le Procureur du Ministère public central, division affaires spéciales, contrôle et mineurs, - Office d’exécution des peines (réf. : [...]),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