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282 vom 25. April 2016</w:t>
      </w:r>
    </w:p>
    <w:p>
      <w:r>
        <w:t>VD Tribunal cantonal, 2016-04-25, FR</w:t>
      </w:r>
    </w:p>
    <w:p>
      <w:r>
        <w:rPr>
          <w:b/>
        </w:rPr>
        <w:t xml:space="preserve">Quelle: </w:t>
      </w:r>
      <w:r>
        <w:t>https://mcp.opencaselaw.ch/entscheid/vd_findinfo_D_cision___2016___282</w:t>
      </w:r>
    </w:p>
    <w:p>
      <w:r>
        <w:t>FR: VD_FINDINFO Décision / 2016 / 282 du 25 avril 2016</w:t>
      </w:r>
    </w:p>
    <w:p>
      <w:r>
        <w:t>IT: VD_FINDINFO Décision / 2016 / 282 del 25 aprile 2016</w:t>
      </w:r>
    </w:p>
    <w:p>
      <w:pPr>
        <w:pStyle w:val="Heading2"/>
      </w:pPr>
      <w:r>
        <w:t>Regeste</w:t>
      </w:r>
    </w:p>
    <w:p>
      <w:r>
        <w:t>DÉCISION D'IRRECEVABILITÉ, ABUS DE POUVOIR, FONCTIONNAIRE | 312 CP, 310 CPP (CH)</w:t>
      </w:r>
    </w:p>
    <w:p>
      <w:pPr>
        <w:pStyle w:val="Heading2"/>
      </w:pPr>
      <w:r>
        <w:t>Erwägungen</w:t>
      </w:r>
    </w:p>
    <w:p>
      <w:r>
        <w:rPr>
          <w:b/>
        </w:rPr>
        <w:t>E. 1.1</w:t>
      </w:r>
    </w:p>
    <w:p>
      <w:r>
        <w:t>Les parties peuvent attaquer une ordonnance de non-entrée en matière rendue par le Ministère public (art. 310 CPP [Code de procédure pénale suisse du 5 octobre 2007, RS 312.0]) dans les dix jours devant l’autorité de recours (art. 310 al. 2, 322 al. 2 CPP ; cf. art. 20 al. 1 let. b CPP), qui dans le canton de Vaud est la Chambre des recours pénale du Tribunal cantonal (art. 13 LVCPP [loi d’introduction du Code de procédure pénale suisse, RSV 312.01] ; art. 80 LOJV [loi d’organisation judiciaire, RSV 173.01]).</w:t>
      </w:r>
    </w:p>
    <w:p>
      <w:r>
        <w:rPr>
          <w:b/>
        </w:rPr>
        <w:t>E. 1.2</w:t>
      </w:r>
    </w:p>
    <w:p>
      <w:r>
        <w:t>Aux termes de l’art. 382 al. 1 CPP, toute partie qui a un intérêt juridiquement protégé à l’annulation ou à la modification d’une décision a qualité pour recourir contre celle-ci. La notion de partie visée à cette disposition doit être comprise au sens des art. 104 et 105 CPP. L'art. 104 al. 1 let. b CPP reconnaît notamment cette qualité à la partie plaignante soit, selon l'art. 118 al. 1 CPP, au "lésé qui déclare expressément vouloir participer à la procédure pénale comme demandeur au pénal ou au civil" (TF 1B_489/2011du 24 janvier 2012 consid. 2.1 ; CREP 2 février 2015/88 consid. 2.1 ; CREP 13 août 2013/545 consid. 2a). Conformément à l'art. 115 al. 1 CPP, est considéré comme lésé "toute personne dont les droits ont été touchés directement par une infraction". L'art. 115 al. 2 CPP ajoute que sont toujours considérées comme telles les personnes qui ont qualité pour déposer plainte pénale. L'art. 105 CPP reconnaît également la qualité de partie aux autres participants à la procédure, tels que le lésé (al. 1 let. a) ou la personne qui dénonce les infractions (al. 1 let. b), lorsqu'ils sont directement touchés dans leurs droits et dans la mesure nécessaire à la sauvegarde de leurs intérêts (al. 2). La qualité pour recourir de la partie plaignante, du lésé ou du dénonciateur contre une ordonnance de classement ou de non-entrée en matière est ainsi subordonnée à la condition qu'ils soient directement touchés par l'infraction et puissent faire valoir un intérêt juridiquement protégé à l'annulation de la décision. En règle générale seul peut se prévaloir d'une atteinte directe le titulaire du bien juridique protégé par la disposition pénale qui a été enfreinte (ATF 141 IV 1 consid. 3.1). Les droits touchés sont les biens juridiques individuels tels que la vie et l'intégrité corporelle, la propriété, l'honneur, etc. (Message relatif à l'unification du droit de la procédure pénale du 21 décembre 2005, FF 2006 p. 1148). En revanche,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(ATF 129 IV 95 consid. 3.1 p. 99 et les arrêts cités).</w:t>
      </w:r>
    </w:p>
    <w:p>
      <w:r>
        <w:rPr>
          <w:b/>
        </w:rPr>
        <w:t>E. 1.3</w:t>
      </w:r>
    </w:p>
    <w:p>
      <w:r>
        <w:t>En l’espèce, l’Association U.________ n’est pas directement touchée par les faits dénoncés et ne revêt donc pas la qualité de lésée. A défaut d’intérêt juridiquement protégé, le recours de cette association doit être déclaré irrecevable. La société I.________ Sàrl a quant à elle été touchée par l’ordonnance de non-entrée en matière querellée et peut se prévaloir d’un intérêt juridiquement protégé à l’annulation ou la modification de cet acte. Interjeté dans le délai légal auprès de l’autorité compétente et dans les formes prescrites par la loi, son recours est par conséquent recevable.</w:t>
      </w:r>
    </w:p>
    <w:p>
      <w:r>
        <w:rPr>
          <w:b/>
        </w:rPr>
        <w:t>E. 2.1</w:t>
      </w:r>
    </w:p>
    <w:p>
      <w:r>
        <w:t>La recourante se plaint de l’inaction du SDT et invoque « la précarité de la situation des parties qui les met tous en danger économique ».</w:t>
      </w:r>
    </w:p>
    <w:p>
      <w:r>
        <w:rPr>
          <w:b/>
        </w:rPr>
        <w:t>E. 2.2</w:t>
      </w:r>
    </w:p>
    <w:p>
      <w:r>
        <w:t>Aux termes de l'art. 310 al. 1 CPP, une ordonnance de non-entrée en matière est rendue immédiatement – c’est-à-dire sans qu’une instruction soit ouverte (art. 309 al. 1 et 4 CPP; TF 1B_111/2012 du 5 avril 2012 consid. 2.1; Cornu, in: Kuhn/Jeanneret [éd.], Code de procédure pénale suisse, Commentaire romand,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(TF 1B_111/2012 du 5 avril 2012 consid. 2.1; TF 1B_67/2012 du 29 mai 2012 consid. 2.2).</w:t>
      </w:r>
    </w:p>
    <w:p>
      <w:r>
        <w:rPr>
          <w:b/>
        </w:rPr>
        <w:t>E. 2.3</w:t>
      </w:r>
    </w:p>
    <w:p>
      <w:r>
        <w:t>Aux termes de l’art. 312 CP, se rendent coupables d’abus d’autorité les membres d'une autorité et les fonctionnaires qui, dans le dessein de se procurer ou de procurer à un tiers un avantage illicite, ou dans le dessein de nuire à autrui, auront abusé des pouvoirs de leur charge. Il y a abus lorsque l’auteur use d’une façon non permise de ses pouvoirs officiels, c’est-à-dire qu’en vertu de sa charge, il en dispose – avec effets obligatoires – en dépassant les limites de ce que ses pouvoirs lui permettent (ATF 127 IV consid. 1b, JdT 2003 IV 117). Cette disposition protège, d’une part, l'intérêt de l'Etat à disposer de fonctionnaires loyaux qui utilisent les pouvoirs qui leur ont été confiés en ayant conscience de leurs devoirs et, d’autre part, celui des citoyens à ne pas être exposés à un « déploiement de puissance étatique incontrôlé et arbitraire » (Dupuis et al., Petit Commentaire du Code pénal, Bâle  2012, n. 3 ad art. 312 CP).</w:t>
      </w:r>
    </w:p>
    <w:p>
      <w:r>
        <w:rPr>
          <w:b/>
        </w:rPr>
        <w:t>E. 2.4</w:t>
      </w:r>
    </w:p>
    <w:p>
      <w:r>
        <w:t>En l’espèce, aucun grief invoqué par la recourante ne laisse suggérer que Q.________ et X.________ auraient fait preuve d’un abus d’autorité à son égard. En effet, elle n’a apporté aucun élément tendant à démontrer que ces deux personnes, en leur qualité de membre d’une autorité publique, auraient cherché à nuire à ses intérêts ou tenté de se procurer un avantage illicite. Bien plutôt, la société I.________ Sàrl semble se plaindre de l’inaction du SDT dans le cadre de l’affaire qui la concerne. Or, cet élément n’est pas constitutif d’un abus d’autorité au sens de l’art. 312 CP et ne relève pas du droit pénal en général. Par conséquent, les éléments constitutifs de cette infraction n’étant pas réunis, c’est à bon droit que le Procureur n’est pas entré en matière.</w:t>
      </w:r>
    </w:p>
    <w:p>
      <w:r>
        <w:rPr>
          <w:b/>
        </w:rPr>
        <w:t>E. 3</w:t>
      </w:r>
    </w:p>
    <w:p>
      <w:r>
        <w:t>Au vu de ce qui précède, le recours de l’Association U.________ doit être déclaré irrecevable. Le recours d’ I.________, manifestement mal fondé, doit être rejeté et l’ordonnance attaquée confirmée. Les frais de la procédure de recours, constitués du seul émolument d'arrêt (art. 422 al. 1 CPP), par 770 fr. (art. 20 al. 1 TFIP  [Tarif des frais de procédure et indemnités en matière pénale du 28 septembre 2010; RSV 312.03.1]), seront mis à la charge de l’Association U.________ et d’I.________ Sàrl par moitié chacune et solidairement entre elles (art. 428 al. 1 CPP). Ces frais sont compensés par les montants versés à titre de sûretés (cf. supra), et le solde, par 165 fr. chacune, doit leur être restitué. Par ces motifs, la Chambre des recours pénale prononce : I. Le recours de l’Association U.________ est irrecevable. II. Le recours d’I.________ Sàrl est rejeté. III. Les frais d’arrêt, par 770 fr. (sept cent septante francs), sont mis à la charge de l’Association U.________ et d’I.________ Sàrl, par moitié chacune et solidairement entre elles. IV. Les frais mis à la charge de l’Association U.________ au chiffre III ci-dessus sont compensés avec le montant de 550 fr. (cinq cent cinquante francs) déjà versé par celle-ci à titre de sûretés et le solde, par 165 fr. (cent soixante-cinq francs), lui est restitué. V. Les frais mis à la charge d’I.________ Sàrl au chiffre III ci-dessus sont compensés avec le montant de 550 fr. (cinq cent cinquante francs) déjà versé par celle-ci à titre de sûretés et le solde, par 165 fr. (cent soixante-cinq francs), lui est restitué. VI. L’arrêt est exécutoire. Le président :               La greffière : Du Le présent arrêt, dont la rédaction a été approuvée à huis clos, est notifié, par l'envoi d'une copie complète, à : - I.________ Sàrl, - Association U.________, - Ministère public central, et communiqué à : - Mme la Procureure du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