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279 vom 26. April 2016</w:t>
      </w:r>
    </w:p>
    <w:p>
      <w:r>
        <w:t>VD Tribunal cantonal, 2016-04-26, FR</w:t>
      </w:r>
    </w:p>
    <w:p>
      <w:r>
        <w:rPr>
          <w:b/>
        </w:rPr>
        <w:t xml:space="preserve">Quelle: </w:t>
      </w:r>
      <w:r>
        <w:t>https://mcp.opencaselaw.ch/entscheid/vd_findinfo_D_cision___2016___279</w:t>
      </w:r>
    </w:p>
    <w:p>
      <w:r>
        <w:t>FR: VD_FINDINFO Décision / 2016 / 279 du 26 avril 2016</w:t>
      </w:r>
    </w:p>
    <w:p>
      <w:r>
        <w:t>IT: VD_FINDINFO Décision / 2016 / 279 del 26 aprile 2016</w:t>
      </w:r>
    </w:p>
    <w:p>
      <w:pPr>
        <w:pStyle w:val="Heading2"/>
      </w:pPr>
      <w:r>
        <w:t>Regeste</w:t>
      </w:r>
    </w:p>
    <w:p>
      <w:r>
        <w:t>RÉVOCATION DU SURSIS | 95 al. 4 CP, 95 al. 5 CP, 95 CP, 28 LEP, 38 LEP, 393 CPP (CH), 85 al. 4 CPP (CH)</w:t>
      </w:r>
    </w:p>
    <w:p>
      <w:pPr>
        <w:pStyle w:val="Heading2"/>
      </w:pPr>
      <w:r>
        <w:t>Erwägungen</w:t>
      </w:r>
    </w:p>
    <w:p>
      <w:r>
        <w:rPr>
          <w:b/>
        </w:rPr>
        <w:t>E. 1.1</w:t>
      </w:r>
    </w:p>
    <w:p>
      <w:r>
        <w:t>Conformément à l'art. 28 al. 7 let. a de la loi sur l'exécution des condamnations pénales du 4 juillet 2006 (ci-après: LEP, RSV 340.01), s’agissant de l’exécution d’une peine assortie du sursis, le juge d’application des peines est compétent pour prolonger le délai d’épreuve, lever l’assistance de probation ou en ordonner une nouvelle, modifier les règles de conduite imposées, les révoquer ou en imposer de nouvelles (art. 95 al. 4 CP). Selon l'art. 28 al. 7 let b LEP, le Juge d'application des peines est également compétent pour ordonner la révocation du sursis (art. 95 al. 5 CP).</w:t>
      </w:r>
    </w:p>
    <w:p>
      <w:r>
        <w:rPr>
          <w:b/>
        </w:rPr>
        <w:t>E. 1.2</w:t>
      </w:r>
    </w:p>
    <w:p>
      <w:r>
        <w:t>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RS 312.0), par renvoi de l’art. 38 al.</w:t>
      </w:r>
    </w:p>
    <w:p>
      <w:r>
        <w:rPr>
          <w:b/>
        </w:rPr>
        <w:t>E. 1.3.1</w:t>
      </w:r>
    </w:p>
    <w:p>
      <w:r>
        <w:t>Le recours doit être adressé par écrit, dans un délai de dix jours dès la notification de la décision attaquée (cf. art. 384 let. b CPP), à l’autorité de recours (art. 396 al. 1 CPP).</w:t>
      </w:r>
    </w:p>
    <w:p>
      <w:r>
        <w:rPr>
          <w:b/>
        </w:rPr>
        <w:t>E. 1.3.2</w:t>
      </w:r>
    </w:p>
    <w:p>
      <w:r>
        <w:t>D'après l'art. 85 al. 4 let. a CPP, le prononcé est réputé notifié lorsque, expédié par lettre signature, il n'a pas été retiré dans les sept jours à compter de la tentative infructueuse de remise du pli, si la personne concernée devait s'attendre à une telle remise. La fiction de la notification à l’échéance d’un délai de sept jours n’intervient que si le destinataire devait s’attendre à la remise d’un pli, conformément à la disposition précitée, ce qui est le cas, selon la jurisprudence, dès l'ouverture de la procédure. C'est un devoir procédural qui vaut pour toute la durée de la procédure et qui impose aux parties de se comporter conformément aux règles de la bonne foi. Ainsi,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(CREP 13 avril 2015/243 consid. 1.2 et réf.).</w:t>
      </w:r>
    </w:p>
    <w:p>
      <w:r>
        <w:rPr>
          <w:b/>
        </w:rPr>
        <w:t>E. 1.3.3</w:t>
      </w:r>
    </w:p>
    <w:p>
      <w:r>
        <w:t>En l'espèce, l’ordonnance attaquée a été envoyée le 23 mars 2016 au domicile de l’intéressé sous pli recommandé et celui-ci ne l'a pas retiré dans le délai de garde car il exécutait une autre peine privative de liberté aux Etablissements de la Plaine de l'Orbe (ci-après : EPO), soit 151 jours ensuite de la conversion de trois amendes. Le JAP a alors procédé à un nouvel envoi par courrier A le 6 avril 2016, cette fois-ci à l’adresse des EPO, en précisant expressément que cette communication ne faisait pas partir un nouveau délai de recours. Par courrier remis à la poste le 11 avril 2016, l’intéressé a informé le JAP qu’il avait informé la FVP et son thérapeute de son incarcération et qu’il pensait que l’information lui était parvenue. Le JAP l’a alors invité à lui indiquer si cette lettre devait être considérée comme un recours contre son ordonnance, ce que le condamné lui a confirmé par lettre du 18 avril 2016. Dans l’hypothèse la plus défavorable au recourant (notification fictive le 31 mars 2016, soit le dernier jour du délai de garde), le délai de recours est arrivé à échéance le dimanche 10 avril 2016 et il a été reporté au lendemain 11 avril 2016, jour de la remise à la poste du premier acte.</w:t>
      </w:r>
    </w:p>
    <w:p>
      <w:r>
        <w:rPr>
          <w:b/>
        </w:rPr>
        <w:t>E. 1.3.4</w:t>
      </w:r>
    </w:p>
    <w:p>
      <w:r>
        <w:t>Le recours de N.________ a donc été interjeté en temps utile, devant l’autorité compétente, par le condamné qui a qualité pour recourir (cf. art. 382 al. 1 CPP) et dans les formes prescrites (cf. art. 385 al. 1 CPP), de sorte qu’il est recevable.</w:t>
      </w:r>
    </w:p>
    <w:p>
      <w:r>
        <w:rPr>
          <w:b/>
        </w:rPr>
        <w:t>E. 2</w:t>
      </w:r>
    </w:p>
    <w:p>
      <w:r>
        <w:t>LEP.</w:t>
      </w:r>
    </w:p>
    <w:p>
      <w:r>
        <w:rPr>
          <w:b/>
        </w:rPr>
        <w:t>E. 2.1</w:t>
      </w:r>
    </w:p>
    <w:p>
      <w:r>
        <w:t>En vertu de l’art. 95 al. 3 à 5 CP, applicable par renvoi de l’art. 46 al. 4 CP, si le condamné au bénéfice d’un sursis se soustrait à l’assistance de probation, s’il viole les règles de conduite ou si l’assistance de probation ou les règles de conduite ne peuvent plus être exécutées ou ne sont plus nécessaires, l’autorité d’exécution peut prolonger le délai d’épreuve jusqu’à concurrence de la moitié de sa durée, lever l’assistance de probation ou en ordonner une nouvelle, modifier les règles de conduite, les révoquer ou en imposer de nouvelles. Elle peut également révoquer le sursis dans la mesure où il est sérieusement à craindre que le condamné ne commette de nouvelles infractions. Le non-respect d’une règle de conduite ou du suivi probatoire n’entraîne pas automatiquement la révocation du sursis. Celle-ci n’interviendra en effet que dans l’hypothèse où la violation de la mesure remet en cause le pronostic qui a conduit à l’octroi du sursis et qu’aucune modification de la mesure ne peut y pallier. Ainsi, le sursis sera révoqué si, d’une part, le comportement du condamné est constitutif d’une violation fautive de la règle de conduite est, d’autre part, si le but de prévention de la règle de conduite est compromis (Perrin, in : Roth/Moreillon [éd.], Commentaire romand, Code pénal I, art. 1-110 CP, n. 17 ad art. 95 CP).</w:t>
      </w:r>
    </w:p>
    <w:p>
      <w:r>
        <w:rPr>
          <w:b/>
        </w:rPr>
        <w:t>E. 2.2</w:t>
      </w:r>
    </w:p>
    <w:p>
      <w:r>
        <w:t>En l’espèce, le recourant n’a dans un premier temps pas respecté les règles de conduite assortissant le sursis qui lui avait été accordé. Une assistance de probation a donc été ordonnée le 2 novembre 2015 mais le recourant n’a pas mis à profit cette aide et il n’a pas cessé de manquer des rendez-vous fixés avec la FVP et le SMPP. Après son audition par le JAP du 10 février 2016, il s’est enfin rendu à un rendez-vous fixé par le SMPP le 29 février 2016 mais il n’est pas venu au suivant fixé le 14 mars 2016, alors qu'il n'était pas encore incarcéré à cette date. À chaque fois, il a justifié ses absences par des problèmes d’argent ou des erreurs de date. Comme l’a justement relevé le JAP, on peut nourrir dans ce contexte des craintes sérieuses sur la propension de l’intéressé à commettre de nouvelles infractions, étant souligné que l’autorité de jugement avait déjà beaucoup hésité à lui accorder le sursis au vu de ses antécédents et que le recourant n’a clairement pas pris conscience du sérieux la situation. Un peu plus d’un an après le jugement du tribunal de police, il n’a pas accompli le moindre travail sur lui-même dans le cadre du suivi thérapeutique ordonné par cette autorité et il n’est pas possible de poser un pronostic favorable quant à son comportement futur. C’est donc à juste titre que le premier juge a révoqué le sursis.</w:t>
      </w:r>
    </w:p>
    <w:p>
      <w:r>
        <w:rPr>
          <w:b/>
        </w:rPr>
        <w:t>E. 3</w:t>
      </w:r>
    </w:p>
    <w:p>
      <w:r>
        <w:t>En définitive, le recours doit être rejeté et l’ordonnance attaquée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mars 2016 est confirmée. III. Les frais de la procédure de recours, par 770 fr. (sept cent septante francs) sont mis à la charge de N.________. IV. L’arrêt est exécutoire. Le président :               La greffière : Du Le présent arrêt, dont la rédaction a été approuvée à huis clos, est notifié, par l'envoi d'une copie complète, à : - M. N.________, - Ministère public central, et communiqué à : - Mme la Juge d'application des peines, - M. le Premier procureur de l'arrondissement du Nord vaudois, - Office d'exécution des peines (OEP/PPL/3260/VRI/SMS), - Etablissement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