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276 vom 11. April 2016</w:t>
      </w:r>
    </w:p>
    <w:p>
      <w:r>
        <w:t>VD Tribunal cantonal, 2016-04-11, FR</w:t>
      </w:r>
    </w:p>
    <w:p>
      <w:r>
        <w:rPr>
          <w:b/>
        </w:rPr>
        <w:t xml:space="preserve">Quelle: </w:t>
      </w:r>
      <w:r>
        <w:t>https://mcp.opencaselaw.ch/entscheid/vd_findinfo_D_cision___2016___276</w:t>
      </w:r>
    </w:p>
    <w:p>
      <w:r>
        <w:t>FR: VD_FINDINFO Décision / 2016 / 276 du 11 avril 2016</w:t>
      </w:r>
    </w:p>
    <w:p>
      <w:r>
        <w:t>IT: VD_FINDINFO Décision / 2016 / 276 del 11 aprile 2016</w:t>
      </w:r>
    </w:p>
    <w:p>
      <w:pPr>
        <w:pStyle w:val="Heading2"/>
      </w:pPr>
      <w:r>
        <w:t>Regeste</w:t>
      </w:r>
    </w:p>
    <w:p>
      <w:r>
        <w:t>DÉCISION D'IRRECEVABILITÉ, CONCURRENCE DÉLOYALE, DÉTÉRIORATION DE DONNÉES, SOUPÇON, PLAINTE PÉNALE | 144bis CP, 23 LCD, 3 al. 1 let. b LCD,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auprès de l’autorité compétente par les parties plaignantes qui ont qualité pour recourir (art. 382 al. 1 CPP), le recours est recevable.</w:t>
      </w:r>
    </w:p>
    <w:p>
      <w:r>
        <w:rPr>
          <w:b/>
        </w:rPr>
        <w:t>E. 2</w:t>
      </w:r>
    </w:p>
    <w:p>
      <w:r>
        <w:t>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3.1</w:t>
      </w:r>
    </w:p>
    <w:p>
      <w:r>
        <w:t>Les recourantes se plaignent d’une violation de l’art. 31 CP, la plainte ayant été déposée dans le délai de trois mois, et d’une constatation erronée des éléments de faits du dossier, dans la mesure où le débranchement des serveurs de la société leur aurait causé un dommage considérable au sens de l’art. 144 bis ch. 1 al. 2 CP et se serait produit au siège de la société, à Lausanne.</w:t>
      </w:r>
    </w:p>
    <w:p>
      <w:r>
        <w:rPr>
          <w:b/>
        </w:rPr>
        <w:t>E. 3.2</w:t>
      </w:r>
    </w:p>
    <w:p>
      <w:r>
        <w:t>Aux termes de l'art. 144 bis ch. 1 al. 1 CP, se rend coupable de détérioration de données, sur plainte, celui qui, sans droit, aura modifié, effacé, ou mis hors d'usage des données enregistrées ou transmises électroniquement ou selon un mode similaire. Si l’auteur a causé un dommage considérable, la poursuite aura lieu d’office (art. 144 bis ch. 1 al. 2 CP).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 disque dur (Corboz, Les infractions en droit suisse, 3 e éd., vol. I, Berne 2010, n. 2 ad art. 144 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La donnée est mise hors d’usage lorsque l’auteur la rend inaccessible, même pour une durée limitée (Corboz, op. cit., n. 5 ad art. 144 bis CP et les références citées). Enfin,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(Corboz, op. cit., nn. 7 à 10 ad art. 144 bis CP). En outre, contrairement à l'art. 143 bis CP, le législateur n'a pas utilisé à l'art. 144 bis CP l'expression "appartenant à autrui", ce qui signifie que l'auteur est punissable non seulement s'il détériore les données d'un tiers mais également s'il détériore ses propres données sur lesquelles un tiers a un droit d'utilisation ou qui lui ont été confiées (Trechsel, Schweizerisches Strafgesetzbuch, Kurzkommentar, n. 2 ad art. 144 bis CP). En bref, il doit donc s'agir de données soustraites au droit de disposition de l'auteur ou dont ce dernier n'a pas le droit de disposer seul (Corboz, op. cit., n. 8 ad art. 144 bis CP). La notion de dommage considérable de l’art. 144 bis CP correspond à celle de l’art. 144 CP (Dupuis et alii, Petit commentaire du Code pénal, Bâle 2012, n. 20 ad art. 144 bis CP et nn. 23 s. ad art. 144 CP). Ainsi, un préjudice de 82'000 fr. ou de 40'000 fr. constitue un dommage considérable au sens de la jurisprudence fédérale (ATF 117 IV 437, JdT 1994 IV 38 ; ATF 106 IV 24, JdT 1981 IV 42). La jurisprudence cantonale permet de mettre en évidence un seuil de l’ordre de 10'000 fr. à partir duquel le dommage considérable serait réalisé (Dupuis et alii, op. cit., n. 23 ad art. 144 CP). Sur le plan subjectif, l'auteur doit avoir agi intentionnellement.</w:t>
      </w:r>
    </w:p>
    <w:p>
      <w:r>
        <w:rPr>
          <w:b/>
        </w:rPr>
        <w:t>E. 3.3</w:t>
      </w:r>
    </w:p>
    <w:p>
      <w:r>
        <w:t>En l’espèce, le débranchement des serveurs de la société S.________AG à Moscou puis à Minsk par B.N.________ aurait momentanément mis hors d’usage le système informatique, contraignant notamment les employés de la société à utiliser leurs messageries privées. Cet acte aurait totalement paralysé la société et contraint celle-ci à renouveler en urgence l’entier de son système informatique, dont le coût se serait élevé à 50'000 francs. Les recourantes allèguent également la perte de nombreux clients ainsi qu’une perte du chiffre d’affaires, entre août 2014 et décembre 2015, qui se monte à des centaines de milliers de francs. Enfin, l’image de la société aurait subi un préjudice immense, puisque les clients ont mis en doute sa crédibilité. Les allégations apparaissent vraisemblables et un dommage considérable ne peut ainsi, à ce stade, être exclu. En outre, à supposer que l’infraction ne se poursuive que sur plainte, il n’apparaît pas possible, à ce stade, de dire qu’elle était tardive. En effet, le délai de l’art. 31 CP part du jour où l’ayant droit a connu l’auteur de l’infraction. Or en l’espèce, les serveurs de la société S.________AG ont été débranchés peu de temps après le 13 août 2014, soit le 14 ou le 15 août 2014. Il a fallu encore identifier la raison de la panne informatique et l’auteur de cet acte, ce qui a pu prendre quelques jours. Ainsi, comme le démontrent les recourantes, dans l’hypothèse où elles auraient connu l’auteur de l’infraction le 15 août 2014 déjà, le délai de trois mois arrivait à échéance le samedi 15 novembre 2014 pour être reporté au lundi 17 novembre 2014, premier jour ouvrable suivant cette échéance. Déposée à cette date, la plainte pénale n’apparait dès lors pas tardive. Enfin, la société S.________AG a son siège à Lausanne (cf. P. 4/1), si bien que la compétence territoriale des autorités de poursuite pénales suisses ne pouvait être d’emblée écartée. Dans ces conditions, l’existence d’une infraction, sous la forme d’une détérioration de données, ne peut pas être exclue à ce stade.</w:t>
      </w:r>
    </w:p>
    <w:p>
      <w:r>
        <w:rPr>
          <w:b/>
        </w:rPr>
        <w:t>E. 4.1</w:t>
      </w:r>
    </w:p>
    <w:p>
      <w:r>
        <w:t>Les recourantes soutiennent également que B.N.________ se serait rendu coupable d’infraction à la LCD.</w:t>
      </w:r>
    </w:p>
    <w:p>
      <w:r>
        <w:rPr>
          <w:b/>
        </w:rPr>
        <w:t>E. 4.2</w:t>
      </w:r>
    </w:p>
    <w:p>
      <w:r>
        <w:t>L'art. 23 LCD sanctionne, sur plainte, le comportement de celui qui, intentionnellement, se sera rendu coupable de concurrence déloyale au sens des articles 3, 4, 5 ou 6 LCD. Selon l’art. 3 al. 1 let. b LCD, agit de façon déloyale celui qui, notamment,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L'auteur doit avoir agi intentionnellement, c'est-à-dire avec conscience et volonté, le dol éventuel étant suffisant (TF 6S.684/2001 du 18 janvier 2002).</w:t>
      </w:r>
    </w:p>
    <w:p>
      <w:r>
        <w:rPr>
          <w:b/>
        </w:rPr>
        <w:t>E. 4.3</w:t>
      </w:r>
    </w:p>
    <w:p>
      <w:r>
        <w:t>En l’espèce, dans des courriers adressés les 14 et 28 juillet 2014 à A.N.________ (cf. P. 4/5 et P. 4/6), [...] et [...], employées de S.________AG, ont expliqué que B.N.________ prétendait être le dirigeant de la société et se comportait comme telle. Ainsi, sans investigations complémentaires, on ne peut exclure que ces fausses affirmations n’ont pas lésé la recourante S.________AG auprès de ses clients ou de tiers.</w:t>
      </w:r>
    </w:p>
    <w:p>
      <w:r>
        <w:rPr>
          <w:b/>
        </w:rPr>
        <w:t>E. 5</w:t>
      </w:r>
    </w:p>
    <w:p>
      <w:r>
        <w:t>Les conditions de l’art. 310 al. 1 let. a CPP n’étant pas réunies, c’est à tort que le Ministère public a rendu, sans autres vérifications, une ordonnance de non-entrée en matière. Il lui appartiendra par conséquent d’ouvrir une instruction pénale et de procéder aux investigations nécessaires.</w:t>
      </w:r>
    </w:p>
    <w:p>
      <w:r>
        <w:rPr>
          <w:b/>
        </w:rPr>
        <w:t>E. 6</w:t>
      </w:r>
    </w:p>
    <w:p>
      <w:r>
        <w:t>Il résulte de ce qui précède que le recours doit être admis, l'ordonnance de non-entrée en matière du 1 er décembre 2015 annulée et la cause renvoyée au Ministère public de l’arrondissement de Lausanne pour qu'il procède dans le sens des considérants. Les recourantes obtenant gain de cause, les frais de la procédure de recours, constitués en l'espèce du seul émolument d’arrêt, par 990 fr. (art. 20 al. 1 TFIP [Tarif des frais de procédure et indemnités en matière pénale du 28 septembre 2010, RSV 312.03.1]), seront laissés à la charge de l'Etat (art. 423 al. 1 CPP). Par ces motifs, la Chambre des recours pénale prononce : I. Le recours est admis. II. L’ordonnance du 1 er décembre 2015 est annulée. III. Le dossier de la cause est renvoyé au Ministère public de l’arrondissement de Lausanne pour qu’il procède dans le sens des considérants. IV. Les frais de la procédure de recours, par 990 fr. (neuf cent nonante francs), sont laissés à la charge de l'Etat. V. Le présent arrêt est exécutoire. Le président :               La greffière : Du Le présent arrêt, dont la rédaction a été approuvée à huis clos, est notifié, par l'envoi d'une copie complète, à : - Mme A.N.________ (pour elle-même et S.________AG), - M. B.N.________,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