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274 vom 25. April 2016</w:t>
      </w:r>
    </w:p>
    <w:p>
      <w:r>
        <w:t>VD Tribunal cantonal, 2016-04-25, FR</w:t>
      </w:r>
    </w:p>
    <w:p>
      <w:r>
        <w:rPr>
          <w:b/>
        </w:rPr>
        <w:t xml:space="preserve">Quelle: </w:t>
      </w:r>
      <w:r>
        <w:t>https://mcp.opencaselaw.ch/entscheid/vd_findinfo_D_cision___2016___274</w:t>
      </w:r>
    </w:p>
    <w:p>
      <w:r>
        <w:t>FR: VD_FINDINFO Décision / 2016 / 274 du 25 avril 2016</w:t>
      </w:r>
    </w:p>
    <w:p>
      <w:r>
        <w:t>IT: VD_FINDINFO Décision / 2016 / 274 del 25 aprile 2016</w:t>
      </w:r>
    </w:p>
    <w:p>
      <w:pPr>
        <w:pStyle w:val="Heading2"/>
      </w:pPr>
      <w:r>
        <w:t>Regeste</w:t>
      </w:r>
    </w:p>
    <w:p>
      <w:r>
        <w:t>DÉTENTION PROVISOIRE, RISQUE DE COLLUSION, RISQUE DE FUITE, SOUPÇON | 221 al. 1 let. a CPP (CH), 221 al. 1 let. b CPP (CH), 227 CPP (CH), 393 al. 1 let. c CPP (CH)</w:t>
      </w:r>
    </w:p>
    <w:p>
      <w:pPr>
        <w:pStyle w:val="Heading2"/>
      </w:pPr>
      <w:r>
        <w:t>Erwägungen</w:t>
      </w:r>
    </w:p>
    <w:p>
      <w:r>
        <w:rPr>
          <w:b/>
        </w:rPr>
        <w:t>E. 1</w:t>
      </w:r>
    </w:p>
    <w:p>
      <w:r>
        <w:t>.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w:t>
      </w:r>
    </w:p>
    <w:p>
      <w:r>
        <w:rPr>
          <w:b/>
        </w:rPr>
        <w:t>E. 2.2</w:t>
      </w:r>
    </w:p>
    <w:p>
      <w:r>
        <w:t>En l’espèce, le recourant soutient que le montant de 31'190 fr. envoyé au Maroc entre le 19 février 2007 et le 31 juillet 2012 n’aurait rien d’extravagant, dès lors qu’il aurait envoyé la somme de 500 fr. par mois, durant la période comprise entre 2007 et le début de l’année 2012, pour l’entretien de son fis qui vit au Maroc. Avant 2012, il n’aurait pas bénéficié de prestations de l’aide sociale mais aurait disposé d’un salaire, puis d’indemnités de chômage. Il soutient en outre que le tribunal tomberait dans l’arbitraire en retenant qu’il est propriétaire de biens immobiliers au Maroc, puisque les plans de la maison dont il était en possession et qui ont été découverts lors de la perquisition seraient ceux de la maison de sa mère. En l’occurrence, dans le cadre de l’opération Capsule, de nombreuses investigations ont été entreprises à propos d’individus opérant des vols dans des trains ainsi que contre leur receleur, identifié comme étant le prévenu. Entre les mois d’octobre 2015 et de janvier 2016, des contrôles téléphoniques rétroactifs et des écoutes téléphoniques directes ont été mis en place sur les divers raccordements utilisés par le recourant. Ces écoutes téléphoniques ont permis de le mettre en cause pour de nombreux cas d’acquisitions et de reventes d’objets volés, tels que des téléphones portables de grande valeur, des ordinateurs portables, des appareils photos de grandes marques ou des montres. Les contrôles téléphoniques à l’endroit du recourant ont également permis d’établir que les objets acquis illégalement en Suisse y étaient revendus ou exportés au Maroc, pour y être écoulés sur le marché local. Plusieurs conversations téléphoniques entre le recourant et des complices locaux ont été interceptées où il était question de la revente de téléphones de dernière génération, de matériel photographique ou de montres et du prix qu’il pouvait en obtenir sur le marché local. Lors de la perquisition menée au domicile du recourant, plusieurs dizaines d’articles provenant de vols, soit notamment des ordinateurs, des tablettes électroniques, des téléphones portables et des appareils photos ont été découverts. Concernant ces objets, le recourant a prétendu les acheter dans la rue auprès d’inconnus, pour les revendre ensuite au Maroc. Au vu des éléments qui précèdent, il existe des indices suffisamment sérieux de culpabilité à l’encontre de S.________ pour justifier son maintien en détention provisoire, sans qu’il ne soit nécessaire en l’état d’approfondir sa situation financière.</w:t>
      </w:r>
    </w:p>
    <w:p>
      <w:r>
        <w:rPr>
          <w:b/>
        </w:rPr>
        <w:t>E. 3.1</w:t>
      </w:r>
    </w:p>
    <w:p>
      <w:r>
        <w:t>Le recourant conteste tout risque de collusion (art. 221 al. 1 let. b CPP).</w:t>
      </w:r>
    </w:p>
    <w:p>
      <w:r>
        <w:rPr>
          <w:b/>
        </w:rPr>
        <w:t>E. 3.2</w:t>
      </w:r>
    </w:p>
    <w:p>
      <w:r>
        <w:t>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 art. 221 CPP; cf. ATF 137 IV 122 consid. 6.2 et 6.4) –, vise à garantir la constatation exacte et complète des faits.</w:t>
      </w:r>
    </w:p>
    <w:p>
      <w:r>
        <w:rPr>
          <w:b/>
        </w:rPr>
        <w:t>E. 3.3</w:t>
      </w:r>
    </w:p>
    <w:p>
      <w:r>
        <w:t>En l’espèce, une demande d’entraide judiciaire internationale a été adressée le 4 mars 2016 aux autorités judiciaires compétentes du Maroc, en vue de procéder ou de faire procéder aux séquestres de comptes bancaires, d’avoirs ou de biens au nom du recourant et à la production de pièces. Or, contrairement à ce que soutient le recourant, il ne s’agit pas uniquement d’opérations bancaires ou immobilières que l’intéressé ne serait de toute manière pas susceptible d’empêcher. En effet, il s’agit bien plus de déterminer et de rechercher quels comptes le recourant pourrait avoir. Or, tant au Maroc qu’en Suisse, il est possible de faire disparaître ou de liquider des comptes avant leur séquestre, notamment grâce à des prête-noms ou à des complices. Il faut donc éviter que le recourant n’entrave l’instruction. Au vu de ce qui précède, le risque de collusion s'oppose, en l’état, à la levée de la détention provisoire du recourant.</w:t>
      </w:r>
    </w:p>
    <w:p>
      <w:r>
        <w:rPr>
          <w:b/>
        </w:rPr>
        <w:t>E. 3.4</w:t>
      </w:r>
    </w:p>
    <w:p>
      <w:r>
        <w:t>Les conditions de l’art. 221 al. 1 CPP étant alternatives (TF 1B_249/2011 du 7 juin 2011 consid. 2.4), l’existence d’un risque de collusion dispense d’examiner si la détention provisoire s’impose également en raison de l’existence d’un risque de fuite ou de récidive. Par surabondance, on peut toutefois relever que le risque de fuite est également réalisé pour les motifs exposés ci-après.</w:t>
      </w:r>
    </w:p>
    <w:p>
      <w:r>
        <w:rPr>
          <w:b/>
        </w:rPr>
        <w:t>E. 3.4.1</w:t>
      </w:r>
    </w:p>
    <w:p>
      <w:r>
        <w:t>Selon la jurisprudence, le risque de fuite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consid. 3.1 non publié). La gravité de l'infraction ne peut pas, à elle seule, justifier la prolongation de la détention, même si elle permet souvent de présumer un danger de fuite en raison de l'importance de la peine dont le prévenu est menacé (ATF 138 IV 81 précité; TF 1B_145/2012 du 19 avril 2012 consid. 3.1 et les références citées).</w:t>
      </w:r>
    </w:p>
    <w:p>
      <w:r>
        <w:rPr>
          <w:b/>
        </w:rPr>
        <w:t>E. 3.4.2</w:t>
      </w:r>
    </w:p>
    <w:p>
      <w:r>
        <w:t>En l’espèce, le recourant, double national suisse et marocain a de nombreuses attaches avec le Maroc, où vivent son fils et sa mère et où il semble disposer de biens immobiliers notamment. Ces circonstances fondent l’existence d’un risque de fuite concret.</w:t>
      </w:r>
    </w:p>
    <w:p>
      <w:r>
        <w:rPr>
          <w:b/>
        </w:rPr>
        <w:t>E. 3.5</w:t>
      </w:r>
    </w:p>
    <w:p>
      <w:r>
        <w:t>Enfin, aucune mesure de substitution, en particulier le dépôt des passeports du recourant, n’est à même de prévenir l’existence des risques retenus. Le maintien de S.________ en détention provisoire est ainsi justifié.</w:t>
      </w:r>
    </w:p>
    <w:p>
      <w:r>
        <w:rPr>
          <w:b/>
        </w:rPr>
        <w:t>E. 4</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 En l’espèce, le recourant est détenu depuis le 14 janvier 2016, soit depuis un peu plus de trois mois. Compte tenu de la gravité des infractions qui lui sont reprochées, le recourant s'expose à une peine d’une durée supérieure à celle de la détention provisoire subie à ce jour. Le principe de la proportionnalité demeure donc respecté.</w:t>
      </w:r>
    </w:p>
    <w:p>
      <w:r>
        <w:rPr>
          <w:b/>
        </w:rPr>
        <w:t>E. 5</w:t>
      </w:r>
    </w:p>
    <w:p>
      <w:r>
        <w:t>Il résulte de ce qui précède que le recours, manifestement mal fondé, doit être rejeté sans autres échanges d’écritures (art. 390 al. 2 CPP). Les frais de la procédure de recours, constitués en l’espèce de l’émolument d'arrêt, par 770 fr. (art. 20 al. 1 TFIP [tarif des frais judiciaires de procédure et indemnités en matière pénale du 28 septembre 2010; RSV 312.03.1]) et des frais imputables à la défense d’office (art. 422 al. 1 et 2 let. a CPP), fixés à 540 fr., plus la TVA par 43 fr. 20, soit à 583 fr. 20 au total, seront mis à la charge de S.________,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6 avril 2016 est confirmée. III. L’indemnité allouée au défenseur d’office de S.________ est fixée à 583 fr. 20 (cinq cent huitante-trois francs et vingt centimes). IV. Les frais d’arrêt, par 770 fr. (sept cent septante francs), ainsi que l’indemnité due au défenseur d’office de S.________, par 583 fr. 20 (cinq cent huitante-trois francs et vingt centimes), sont mis à la charge de ce dernier. V. Le remboursement à l'Etat de l'indemnité allouée au chiffre III ci-dessus ne sera exigible que pour autant que la situation économique de S.________ se soit améliorée. VI. L’arrêt est exécutoire. Le président :               La greffière : Du Le présent arrêt, dont la rédaction a été approuvée à huis clos, est notifié, par l'envoi d'une copie complète, à : - Me Annie Schnitzler, avocate (pour S.________), - Ministère public central ;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