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271 vom 25. April 2016</w:t>
      </w:r>
    </w:p>
    <w:p>
      <w:r>
        <w:t>VD Tribunal cantonal, 2016-04-25, FR</w:t>
      </w:r>
    </w:p>
    <w:p>
      <w:r>
        <w:rPr>
          <w:b/>
        </w:rPr>
        <w:t xml:space="preserve">Quelle: </w:t>
      </w:r>
      <w:r>
        <w:t>https://mcp.opencaselaw.ch/entscheid/vd_findinfo_D_cision___2016___271</w:t>
      </w:r>
    </w:p>
    <w:p>
      <w:r>
        <w:t>FR: VD_FINDINFO Décision / 2016 / 271 du 25 avril 2016</w:t>
      </w:r>
    </w:p>
    <w:p>
      <w:r>
        <w:t>IT: VD_FINDINFO Décision / 2016 / 271 del 25 aprile 2016</w:t>
      </w:r>
    </w:p>
    <w:p>
      <w:pPr>
        <w:pStyle w:val="Heading2"/>
      </w:pPr>
      <w:r>
        <w:t>Regeste</w:t>
      </w:r>
    </w:p>
    <w:p>
      <w:r>
        <w:t>DÉTENTION PROVISOIRE, PROLONGATION, REJET DE LA DEMANDE, SOUPÇON, RISQUE DE RÉCIDIVE | 221 al. 1 let. a CPP (CH), 221 al. 1 let. b CPP (CH), 221 al. 1 let. c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e éd., Zurich 2006, n. 845 ; Schmocker, op. cit., n. 8 ad art. 221 CPP, p. 1025 ; Forster, in : Niggli/ 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2.3</w:t>
      </w:r>
    </w:p>
    <w:p>
      <w:r>
        <w:t>En l’espèce, lors de ses premières auditions par la police et par le Procureur, le recourant a toujours contesté avoir vendu de la cocaïne et de la marijuana et être impliqué dans un trafic de stupéfiants. Toutefois, depuis le début de l’instruction, la police et le Ministère public ont entendu plus de huit consomma­teurs de marijuana et/ou de cocaïne qui ont mis en cause le prévenu. Ce n’est que lors de son audition par la police le 17 décembre 2015 que le recourant a finalement partiellement reconnu les faits, admettant qu’il avait une dizaine de clients à qui il vendait de la cocaïne, mais expliquant acheter cette drogue à des ressortissants afri­cains à Lausanne. A ce stade de l’instruction, ces déclarations et celles de L.________ (cf. A. b) supra) constituent des indices suffisamment sérieux de culpabilité à l’encontre du recourant pour justifier son maintien en détention provisoire. Au demeurant, les soupçons n’ont eu de cesse de se renforcer depuis le début de l’instruction au vu des nouvelles mises en causes intervenues.</w:t>
      </w:r>
    </w:p>
    <w:p>
      <w:r>
        <w:rPr>
          <w:b/>
        </w:rPr>
        <w:t>E. 3</w:t>
      </w:r>
    </w:p>
    <w:p>
      <w:r>
        <w:t>Le recourant conteste l’existence des risques de collusion, de réitéra­tion et de fuite retenus par le Tribunal des mesures de contrainte.</w:t>
      </w:r>
    </w:p>
    <w:p>
      <w:r>
        <w:rPr>
          <w:b/>
        </w:rPr>
        <w:t>E. 3.1.1</w:t>
      </w:r>
    </w:p>
    <w:p>
      <w:r>
        <w:t>S’agissant tout d’abord du risque de collusion, on relèvera que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w:t>
      </w:r>
    </w:p>
    <w:p>
      <w:r>
        <w:rPr>
          <w:b/>
        </w:rPr>
        <w:t>E. 3.1.2</w:t>
      </w:r>
    </w:p>
    <w:p>
      <w:r>
        <w:t>En l’espèce, Z.________ a certes reconnu une partie des faits, mais il nie obstinément être impliqué dans un trafic de stupéfiants. Or, ses déclarations sont en contradiction avec celles de plusieurs consommateurs et clients du recourant. Il résulte du dossier qu’Z.________ avait des contacts téléphoniques très fréquents avec plusieurs consom­mateurs de drogue dont il était le fournisseur. De plus, le Ministère public a ouvert une instruction pénale à l’encontre de C.________, arrêté le 14 janvier 2016, soupçonné d’avoir vendu de la cocaïne et d’être impliqué dans un trafic de drogue avec le recourant. Le Ministère public doit par conséquent encore procéder à des auditions et en particulier réentendre le recourant. A ce stade, on peut donc évidemment craindre qu’en cas de libération, le recourant n’entrave l’instruction en cherchant à entrer en contact avec les différents intéressés en vue d’influencer leurs déclarations. De plus, des vérifications sont actuellement en cours s’agissant des vols en avion effectués par le recourant et des différentes personnes à qui le recou­rant a envoyé des sommes importantes d’argent. Au vu de ces éléments, la recherche de la vérité pourrait être compro­mise par la libération du recourant et le risque de collusion justifie le maintien en détention provisoire d’Z.________.</w:t>
      </w:r>
    </w:p>
    <w:p>
      <w:r>
        <w:rPr>
          <w:b/>
        </w:rPr>
        <w:t>E. 3.2.1</w:t>
      </w:r>
    </w:p>
    <w:p>
      <w:r>
        <w:t>S’agissant du risque de réitération, l'art. 221 al. 1 let. c CPP prévoit que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Un risque de récidive existe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3.2.2</w:t>
      </w:r>
    </w:p>
    <w:p>
      <w:r>
        <w:t>En l’espèce, le casier judiciaire suisse du recourant fait état de deux condamnations en 2008 et en 2012, celle-ci concernant des délits et contraventions  à la loi sur les stupéfiants. Le recourant a été interpellé le 29 janvier 2014 à la douane franco-espagnole alors qu’il était accompagné de C.________ et qu’il détenait 4,4 kilogrammes de marijuana. Ni ses précédentes condamnations ni son interpellation du 29 janvier 2014 n’ont mis un terme à son activité délictueuse, le prévenu n’ayant pas hésité à commettre de nouvelles infractions de même nature depuis lors. Compte tenu par ailleurs du nombre et de la durée dans laquelle s’inscrivent les infractions graves reprochées au recourant, et de la situation financière précaire du recourant, lequel a perdu son travail d’employé communal à [...], le risque qu’il commette à nouveau des délits doit être considéré comme sérieux. Au vu de ces éléments, le maintien du recou­rant en détention provisoire est donc également justifié par l’existence d’un risque de réitération.</w:t>
      </w:r>
    </w:p>
    <w:p>
      <w:r>
        <w:rPr>
          <w:b/>
        </w:rPr>
        <w:t>E. 3.3</w:t>
      </w:r>
    </w:p>
    <w:p>
      <w:r>
        <w:t>Les motifs fondant la détention provisoire étant alternatifs (TF 1B_249/2011 du 7 juin 2011 consid. 2.4), l’existence des risques de collusion et de réitération dispense d’examiner si la détention provisoire s’impose également en raison d’un risque de fuite invoqué par le Ministère public à l’appui de sa demande de prolongation.</w:t>
      </w:r>
    </w:p>
    <w:p>
      <w:r>
        <w:rPr>
          <w:b/>
        </w:rPr>
        <w:t>E. 3.4</w:t>
      </w:r>
    </w:p>
    <w:p>
      <w:r>
        <w:t>Au vu de ce qui précède et de la gravité des accusations portées à l’encontre du recourant, aucune mesure de substitution n’est à même, en l’état, de prévenir les risques retenus (art. 237 al. 1 CPP).</w:t>
      </w:r>
    </w:p>
    <w:p>
      <w:r>
        <w:rPr>
          <w:b/>
        </w:rPr>
        <w:t>E. 4</w:t>
      </w:r>
    </w:p>
    <w:p>
      <w:r>
        <w:t>Le recourant soutient enfin que son maintien en détention provisoire violerait le principe de la proportionnalité.</w:t>
      </w:r>
    </w:p>
    <w:p>
      <w:r>
        <w:rPr>
          <w:b/>
        </w:rPr>
        <w:t>E. 4.1</w:t>
      </w:r>
    </w:p>
    <w:p>
      <w:r>
        <w:t>Selon l'art. 212 al. 3 CPP,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4.2</w:t>
      </w:r>
    </w:p>
    <w:p>
      <w:r>
        <w:t>En l’espèce, Z.________ est détenu depuis le 14 octobre 2015, soit depuis un peu plus de cinq mois. Il a admis avoir vendu de la cocaïne et de la marijuana, mais il est également prévenu de trafic international de stupéfiants. Ainsi, compte tenu des actes qui lui sont repro­chés, la durée de la détention provisoire n’apparaît nullement disproportionnée au regard de la peine encourue. Au vu de ces éléments, le principe de la proportionnalité de la détention provisoire demeure respecté.</w:t>
      </w:r>
    </w:p>
    <w:p>
      <w:r>
        <w:rPr>
          <w:b/>
        </w:rPr>
        <w:t>E. 5</w:t>
      </w:r>
    </w:p>
    <w:p>
      <w:r>
        <w:t>Il résulte de ce qui précède que le recours, manifestement mal fondé, doit être rejeté sans autre échanges d’écritures (art. 390 al. 2 CPP). Les frais de la procédure de recours, constitués en l’espèce de l’émolument d'arrêt, par 1’100 fr. (art. 20 al. 1 TFIP [Tarif des frais judiciaires de procédure et indemnités en matière pénale du 28 septembre 2010 ; RSV 312.03.1]) et des frais imputables à la défense d’office (art. 422 al. 1 et 2 let. a CPP), fixés à 540 fr., plus la TVA par 43 fr. 20, soit un total de 583 fr. 20, seront mis à la charge d’Z.________,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4 avril 2016 est confirmée. III. L’indemnité allouée au défenseur d’office d’Z.________ est fixée à 583 fr. 20 (cinq cent huitante-trois francs et vingt centimes). IV. Les frais d’arrêt, par 1’100 fr. (mille cent francs), ainsi que l’indemnité due au défenseur d’office d’Z.________, par 583 fr. 20 (cinq cent huitante-trois francs et vingt centimes), sont mis à la charge de ce dernier. V. Le remboursement à l’Etat de l’indemnité allouée au chiffre III ci-dessus ne sera exigible que pour autant que la situation économique d’Z.________ se soit améliorée. VI. L’arrêt est exécutoire. Le président :               La greffière : Du Le présent arrêt, dont la rédaction a été approuvée à huis clos, est notifié, par l'envoi d'une copie complète, à : - Me Johanna Trümpy (pour Z.________),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