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267 vom 5. April 2016</w:t>
      </w:r>
    </w:p>
    <w:p>
      <w:r>
        <w:t>VD Tribunal cantonal, 2016-04-05, FR</w:t>
      </w:r>
    </w:p>
    <w:p>
      <w:r>
        <w:rPr>
          <w:b/>
        </w:rPr>
        <w:t xml:space="preserve">Quelle: </w:t>
      </w:r>
      <w:r>
        <w:t>https://mcp.opencaselaw.ch/entscheid/vd_findinfo_D_cision___2016___267</w:t>
      </w:r>
    </w:p>
    <w:p>
      <w:r>
        <w:t>FR: VD_FINDINFO Décision / 2016 / 267 du 5 avril 2016</w:t>
      </w:r>
    </w:p>
    <w:p>
      <w:r>
        <w:t>IT: VD_FINDINFO Décision / 2016 / 267 del 5 aprile 2016</w:t>
      </w:r>
    </w:p>
    <w:p>
      <w:pPr>
        <w:pStyle w:val="Heading2"/>
      </w:pPr>
      <w:r>
        <w:t>Regeste</w:t>
      </w:r>
    </w:p>
    <w:p>
      <w:r>
        <w:t>OPPOSITION{PROCÉDURE}, LOI FÉDÉRALE SUR LA CIRCULATION ROUTIÈRE | 354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20 février 2015/143 ; CREP 27 septembre 2012/670). Ce recours s’exerce auprès de l’autorité de recours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w:t>
      </w:r>
    </w:p>
    <w:p>
      <w:r>
        <w:rPr>
          <w:b/>
        </w:rPr>
        <w:t>E. 1.2</w:t>
      </w:r>
    </w:p>
    <w:p>
      <w:r>
        <w:t>La cause relève de la compétence d’un juge de la Chambre des recours pénale statuant comme juge unique, s’agissant d’un recours portant exclusivement sur une contravention (art. 395 let. a CPP; art. 13 al. 2 LVCPP).</w:t>
      </w:r>
    </w:p>
    <w:p>
      <w:r>
        <w:rPr>
          <w:b/>
        </w:rPr>
        <w:t>E. 2.1</w:t>
      </w:r>
    </w:p>
    <w:p>
      <w:r>
        <w:t>Le préfet est compétent pour poursuivre et juger les contraventions de droit fédéral et cantonal (art. 3 al. 2 LVCPP). Le préfet a alors les attributions du ministère public (art. 357 al. 1 CPP). Les dispositions sur l’ordonnance pénale sont applicables par analogie à la procédure pénale en matière de contraventions (art. 357 al. 2 CPP). En application de l’art. 354 CPP, le prévenu qui n’est pas d’accord avec l’ordonnance pénale rendue contre lui peut y faire opposition. Si l’autorité pénale compétente en matière de contraventions décide de la maintenir, le dossier est transmis au tribunal de première instance en vue de la fixation de débats (art. 356 al. 1 CPP). Selon l'art. 356 al. 2 CPP, le tribunal de première instance statue sur la validité de l'ordonnance pénale et de l'opposition. L’opposition peut être retirée jusqu’à l’issue des plaidoiries (art. 356 al. 3 CPP).</w:t>
      </w:r>
    </w:p>
    <w:p>
      <w:r>
        <w:rPr>
          <w:b/>
        </w:rPr>
        <w:t>E. 2.2</w:t>
      </w:r>
    </w:p>
    <w:p>
      <w:r>
        <w:t>En l’espèce, le recourant allègue avoir retiré son opposition sous la contrainte du Président du Tribunal de police. Toutefois, il ne ressort pas du dossier que le recourant a subi une quelconque contrainte lors des débats de première instance. Il apparaît au contraire, à la lecture du recours et du jugement attaqué, que le Président a pris le temps d’expliquer au recourant que celui-ci avait déjà retiré son opposition le 29 avril 2015 devant le Préfet et qu’il avait accepté tacitement l’ordonnance pénale litigieuse en payant l’amende infligée. Le Président a au surplus laissé les frais de première instance à la charge de l’Etat. C’est ainsi en toute connaissance de cause que le recourant a retiré son opposition, si bien que le jugement du Tribunal de police échappe à la critique.</w:t>
      </w:r>
    </w:p>
    <w:p>
      <w:r>
        <w:rPr>
          <w:b/>
        </w:rPr>
        <w:t>E. 3</w:t>
      </w:r>
    </w:p>
    <w:p>
      <w:r>
        <w:t>Au vu de ce qui précède, le recours doit être rejeté et le jugement attaqué confirmé.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le juge unique prononce : I. Le recours est rejeté. II. Le jugement du 10 mars 2016 est confirmé. III. Les frais d’arrêt, par 550 fr. (cinq cent cinquante francs), sont mis à la charge de P.________. IV. L’arrêt est exécutoire. Le juge unique :               La greffière : Du Le présent arrêt, dont la rédaction a été approuvée à huis clos, est notifié, par l'envoi d'une copie complète, à : - M. P.________, - Ministère public central, et communiqué à : - M. le Président du Tribunal de police de l’arrondissement de la Broye et du Nord vaudois,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