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266 vom 21. April 2016</w:t>
      </w:r>
    </w:p>
    <w:p>
      <w:r>
        <w:t>VD Tribunal cantonal, 2016-04-21, FR</w:t>
      </w:r>
    </w:p>
    <w:p>
      <w:r>
        <w:rPr>
          <w:b/>
        </w:rPr>
        <w:t xml:space="preserve">Quelle: </w:t>
      </w:r>
      <w:r>
        <w:t>https://mcp.opencaselaw.ch/entscheid/vd_findinfo_D_cision___2016___266</w:t>
      </w:r>
    </w:p>
    <w:p>
      <w:r>
        <w:t>FR: VD_FINDINFO Décision / 2016 / 266 du 21 avril 2016</w:t>
      </w:r>
    </w:p>
    <w:p>
      <w:r>
        <w:t>IT: VD_FINDINFO Décision / 2016 / 266 del 21 aprile 2016</w:t>
      </w:r>
    </w:p>
    <w:p>
      <w:pPr>
        <w:pStyle w:val="Heading2"/>
      </w:pPr>
      <w:r>
        <w:t>Regeste</w:t>
      </w:r>
    </w:p>
    <w:p>
      <w:r>
        <w:t>CLASSEMENT DE LA PROCÉDURE, ABUS D'AUTORITÉ, POLICE | 312 CP, 319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Interjeté dans le délai légal auprès de l’autorité compétente par la partie plaignante, qui a la qualité pour recourir (cf. art. 382 al. 1 CPP; CREP 19 novembre 2014/828), et satisfaisant aux conditions de forme posées par la loi (cf. art. 385 al. 1 CPP), le recours est recevable.</w:t>
      </w:r>
    </w:p>
    <w:p>
      <w:r>
        <w:rPr>
          <w:b/>
        </w:rPr>
        <w:t>E. 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consid. 4.1.1; cf. ég. ATF 138 IV 186 consid. 4).</w:t>
      </w:r>
    </w:p>
    <w:p>
      <w:r>
        <w:rPr>
          <w:b/>
        </w:rPr>
        <w:t>E. 2.2</w:t>
      </w:r>
    </w:p>
    <w:p>
      <w:r>
        <w:t>Selon l’art. 312 CP, se rend coupable d’abus d’autorité le membre d’une autorité ou le fonctionnaire qui, dans le dessein de se procurer ou de procurer à un tiers un avantage illicite, aura abusé des pouvoirs de sa charge. L'abus d'autorité présuppose, parmi les éléments constitutifs objectifs de l'infraction, que, dans l'accomplissement de sa tâche officielle, le membre de l'autorité ou le fonction-naire abuse des moyens coercitifs inhérents à sa charge (Corboz, Les infractions en droit suisse, Berne 2010, vol. II, ch. 5 ad art. 312 CP, p. 699). Cette infraction présuppose que le détenteur de l’autorité exerce de façon illégale le pouvoir qu'il tire de sa fonction, décidant ou contraignant là où il ne devrait pas; l'abus est cependant davantage qu'une simple violation des devoirs de service, mais suppose, bien plutôt, une violation insoutenable des règles applicables (Corboz, op. cit., ch. 6, p. 699). La licéité de l'acte est, en tous les cas, subordonnée à la condition qu'il soit proportionné à son but (ATF 107 IV 84 consid. 4). Il faut donc se demander si le préjudice porté aux droits de tiers n'excède pas ce qui est nécessaire pour atteindre le but qui le justifie (ATF 107 IV 84, précité, consid. 4 et 4a; ATF 94 IV 5 consid. 1 et 2a), en tenant compte des circonstances du cas d'espèce, soit de la justification et du type de la mesure prise, ainsi que des moyens et du temps dont disposait l'intéressé, selon la représentation qu'il avait des faits au moment où il a agi (TF 6B_930/2008 du 15 janvier 2009 consid. 3.1 et la référence citée). Le respect de la proportion-nalité est une question de droit, qui relève avant tout de l'appréciation, laquelle doit intervenir en se replaçant dans les circonstances concrètes du cas, en tenant compte de la réalité du terrain – notamment en matière d'intervention policière –, de l'urgence ou encore de l'état de tension dans lequel l'auteur pouvait être légitimement plongé (Monnier, in : Roth/Moreillon [éd.], Commentaire romand, Code pénal I, Art. 1-110 CP, Bâle 2009, n. 5 ad art. 14-18 CP, p. 172 et les références citées). L'art. 14 CP, à l'instar de l'art. 32 aCP, ne renferme en lui-même aucun motif justificatif et ne constitue qu'une norme de renvoi, par exemple au droit public cantonal, s'agissant de déterminer l'existence et l'étendue d'un devoir de fonction (Monnier, op. cit., n. 21 ad art. 14-18 CP, p. 174 et la référence citée). Lorsqu’il s’agit d’apprécier la proportion-nalité d’interventions policières, l’art. 14 CP doit ainsi être appliqué compte tenu des normes spéciales auxquelles sont soumis les fonctionnaires incriminés (CREP 29 avril 2013/334; CREP 12 mars 2013/321 consid. 3a), soit en particulier l’art. 24 LPol (loi sur la police cantonale; RSV 131.11), qui interdit au fonctionnaire de police de faire subir à quiconque un outrage ou des mauvais traitements, mais prévoit que la police peut, pour l'accomplissement de son service, utiliser la force, dans une mesure proportionnée aux circonstances, lorsqu'il n'existe pas d'autre moyen d'agir.</w:t>
      </w:r>
    </w:p>
    <w:p>
      <w:r>
        <w:rPr>
          <w:b/>
        </w:rPr>
        <w:t>E. 2.3</w:t>
      </w:r>
    </w:p>
    <w:p>
      <w:r>
        <w:t>En l’espèce, dans la mesure où le recourant reproche aux policiers d’avoir arrêté la voiture de police et de l’avoir mise en travers de la chaussée sur les deux voies en entravant la circulation pour un simple oubli de port du casque, son grief doit être écarté. D’une part, il ne s’agit que d’affirmations non établies – le témoin [...] indiquant que la manœuvre de la voiture de police n’avait pas été dangereuse – et, d’autre part, il n’a pas la qualité pour se plaindre d’une entrave à la circulation s’agissant des autres usagers de la route, étant précisé que sa propre interpellation était parfaitement justifiée puisqu’il roulait sans casque, indépendamment de la suspicion de conduite sous l’influence de l’alcool. Le recourant n’est pas crédible lorsqu’il prétend avoir été « littéralement tabassé ». Le certificat médical qu’il a produit – qui ne fait état d’aucune lésion apparente – ne permet en tous les cas pas de corroborer ce point. Le recourant ne saurait par ailleurs fonder l’accusation d’abus d’autorité sur les déclarations des témoins selon lesquelles ceux-ci auraient été choqués par tout le bruit qu’il faisait et par le fait que les policiers l’emmenaient alors qu’il se débattait. Il n’appartient pas aux témoins de juger si l’intervention était disproportionnée. Le fait est que les policiers ont constaté que le recourant présentait des signes d’ébriété, en particulier une haleine qui sentait l’alcool, qu’il a refusé de se soumettre à un test à l’éthylomètre malgré plusieurs injonctions, et qu’il a voulu leur fausser compagnie en tentant de refermer sur eux la porte de son bureau. Reprocher aux policiers, dans ces circonstances, d’avoir pénétré sans autorisation dans son bureau, frise la témérité. On ne peut que constater que par son comportement, le recourant a provoqué l’usage de la force, soit la décision de le saisir physiquement pour le sortir de son bureau et l’emmener au poste de police. Ainsi, les actes des policiers répondaient à la nécessité d’interpeller le plaignant, de sorte qu’il n’y a pas d’abus d’autorité (art. 312 CP). Concernant les voies de fait (art. 126 CP), l’acte était également autorisé par la loi au sens de l’art. 14 CP et la maîtrise, à mains nues, proportionnée. Il y a donc lieu de considérer que les prévenus ont agi dans le cadre de leurs devoirs et que le recours à la contrainte physique était licite et adéquat, conformément aux art. 14 CP et 24 LPol. Aucune autre mesure d’instruction n’est susceptible de conduire à une appréciation différente, de sorte qu’en définitive, une condamnation paraît exclue. Le classement doit donc être confirmé.</w:t>
      </w:r>
    </w:p>
    <w:p>
      <w:r>
        <w:rPr>
          <w:b/>
        </w:rPr>
        <w:t>E. 3</w:t>
      </w:r>
    </w:p>
    <w:p>
      <w:r>
        <w:t>Il résulte de ce qui précède que le recours, manifestement mal fondé, doit être rejeté sans autre échange d’écritures (art. 390 al. 2 CPP) et l’ordonnance du 22 mars 2016 confirmée. Les frais de la procédure de recours, constitués en l'espèce uniquement de l'émolument d'arrêt (art. 422 al. 1 CPP), par 990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22 mars 2016 est confirmée. III. Les frais de la procédure de recours, par 990 fr. (neuf cent nonante francs), sont mis à la charge de D.________. IV. L’arrêt est exécutoire. Le président :               La greffière : Du Le présent arrêt, dont la rédaction a été approuvée à huis clos, est notifié, par l'envoi d'une copie complète, à : - M. Charles Munoz, avocat (pour D.________), - Mme Odile Pelet, avocate (pour V.________ et O.________),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