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264 vom 15. April 2016</w:t>
      </w:r>
    </w:p>
    <w:p>
      <w:r>
        <w:t>VD Tribunal cantonal, 2016-04-15, FR</w:t>
      </w:r>
    </w:p>
    <w:p>
      <w:r>
        <w:rPr>
          <w:b/>
        </w:rPr>
        <w:t xml:space="preserve">Quelle: </w:t>
      </w:r>
      <w:r>
        <w:t>https://mcp.opencaselaw.ch/entscheid/vd_findinfo_D_cision___2016___264</w:t>
      </w:r>
    </w:p>
    <w:p>
      <w:r>
        <w:t>FR: VD_FINDINFO Décision / 2016 / 264 du 15 avril 2016</w:t>
      </w:r>
    </w:p>
    <w:p>
      <w:r>
        <w:t>IT: VD_FINDINFO Décision / 2016 / 264 del 15 aprile 2016</w:t>
      </w:r>
    </w:p>
    <w:p>
      <w:pPr>
        <w:pStyle w:val="Heading2"/>
      </w:pPr>
      <w:r>
        <w:t>Regeste</w:t>
      </w:r>
    </w:p>
    <w:p>
      <w:r>
        <w:t>PREUVE ILLICITE, DÉFENSE NÉCESSAIRE, AVOCAT DE LA PREMIÈRE HEURE | 130 let. b CPP (CH), 131 CPP (CH), 141 al. 5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ordonnance du ministère public refusant de retrancher des pièces du dossier est ainsi susceptible de recours selon les art. 393 ss CPP (Stephenson/Thiriet, in : Niggli/Heer/Wiprächtiger [éd.], Basler Kommentar, Schweizerische Strafprozessordnung, Jugendstrafprozessordnung, 2 e éd., Bâle 2014, n. 10 ad art. 393 CPP ; CREP 9 mars 2015/169 ; CREP 14 juillet 2014/468 ; CREP 7 juillet 2014/454).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déposé en temps utile devant l’autorité compétente par une partie qui a qualité pour recourir au sens de l'art. 382 al. 1 CPP et dans les formes prescrites (art. 385 al. 1 CPP), le recours d’A.________ est recevable.</w:t>
      </w:r>
    </w:p>
    <w:p>
      <w:r>
        <w:rPr>
          <w:b/>
        </w:rPr>
        <w:t>E. 2.1</w:t>
      </w:r>
    </w:p>
    <w:p>
      <w:r>
        <w:t>Selon l’art. 130 let. b CPP, le prévenu doit obligatoirement être pourvu d’un défenseur lorsqu’il encourt une peine privative de liberté de plus d’un an ou une mesure entraînant une privation de liberté. Pour déterminer la peine encourue au sens de l’art. 130 let. b CPP, il faut tenir compte de l’ensemble des peines qui devront être exécutées et donc également de celles prononcées précédemment à l’égard desquelles le sursis pourrait être révoqué (TF 6B_441/2011 et les références citées). L’art. 131 al. 1 CPP prévoit qu’en cas de défense obligatoire, la direction de la procédure pourvoit à ce que le prévenu soit assisté aussitôt d’un défenseur.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Les preuves administrées avant qu’un défenseur ait été désigné, alors même que la nécessité d’une défense aurait dû être reconnue, ne sont exploitables qu’à condition que le prévenu renonce à en répéter l’administration (art. 131 al. 3 CPP). Il existe une ambiguïté sur le point de savoir si, par l'expression « première audition » (erste Einvernahme) de l'art. 131 al. 2 CPP, le législateur entendait la première audition effective (soit par la police, soit par le ministère public) ou celle conduite par le ministère public, comme cela apparaît dans le texte légal adopté. Selon la jurisprudence de la Chambre des recours pénale, il y a lieu de considérer que le législateur a souhaité garantir la défense obligatoire dès la première audition, au sens temporel du mot, c'est-à-dire même si celle-ci est menée par la police, mais avant l'ouverture de l'instruction par le ministère public (CREP 10 septembre 2014/662 ; CREP 27 mars 2012/208; CREP 10 novembre 2011/492 et les références citées). Cette conclusion est en accord avec la systématique de la loi qui exige qu'une défense obligatoire soit garantie déjà avant l'ouverture de l'instruction s'il s'agit d'un cas reconnaissable dès le début de la procédure préliminaire; or la procédure préliminaire commence, selon l'art. 299 al. 1 CPP, au stade de l'investigation par la police. Si, à ce stade, il est clair qu'un cas de défense obligatoire est réalisé, celle-ci doit être assurée avant l'ouverture de l'instruction (CREP du 27 mars 2012/208 consid. 2b et les références citées ; CREP du 22 février 2016/124). Selon l’art. 141 al. 5 CPP, les pièces relatives aux moyens de preuves non exploitables doivent être retirées du dossier pénal, conservées à part jusqu’à la clôture définitive de la procédure, puis détruites.</w:t>
      </w:r>
    </w:p>
    <w:p>
      <w:r>
        <w:rPr>
          <w:b/>
        </w:rPr>
        <w:t>E. 2.4</w:t>
      </w:r>
    </w:p>
    <w:p>
      <w:r>
        <w:t>En l’espèce, force est de constater qu’un cas de défense obligatoire était reconnaissable avant même l’audition d’A.________ par la police. Ensuite du vol de marchandises dans le magasin M.________, P.________ et C.________ ont été interpellés dans une voiture dans laquelle il a été retrouvé des paquets de cigarettes provenant du butin ainsi qu’un tournevis et diverses cartes « SIM ». Peu après, une perquisition a été effectuée à [...], au domicile clandestin de C.________ et A.________. Ce dernier a été interpellé à l’intérieur du logement avec un quatrième comparse. La fouille de l’appartement a permis de découvrir des cartouches de cigarettes emballées, diverses cartes téléphoniques et supports de carte « SIM » et des outils servant lors de cambriolages. De plus, lors de la perquisition ayant eu lieu dans l’appartement de P.________, il a notamment été découvert une balance électronique, des quittances d’envoi d’argent, un téléphone portable, un support de carte « SIM » ainsi que deux paquets pour meule en diamant (P. 4). A ce stade et au vu des éléments qui précèdent, il existait déjà des indices suffisants corroborant l’hypothèse que les prévenus étaient liés et opéraient en bande. En outre, lors de son audition devant la police, A.________ a déclaré qu’il avait été condamné à 28 mois de prison, dont la moitié avec sursis, soit 14 mois, avec quatre ans de délai d’épreuve pour avoir commis des vols dans plusieurs maisons et qu’il était sorti de prison le 11 janvier 2016 (PV aud. 1). Cette information – qui s’est révélée exacte puisque l’intéressé a été condamné le 21 décembre 2015 par le Tribunal correctionnel de l’arrondissement de Lausanne notamment pour vol en bande et par métier – était immédiatement et facilement vérifiable par les policiers. Cette indication aurait dû les alarmer sur le fait qu’en cas de condamnation, et si le sursis était révoqué, A.________ risquait de purger une peine privative de liberté supérieure à un an (cf. P. 6). Par ailleurs, le fait que le recourant ait été maintenu à disposition de la police ensuite de son audition alors qu’il n’était prévenu que de vol simple et que le Procureur l’ait ensuite entendu très rapidement comme prévenu de vol en bande ne manque pas d’interpeller. Cela tend à confirmer qu’il existait déjà depuis l’ouverture de l’enquête des soupçons suffisants selon lesquels le prévenu pouvait potentiellement être soupçonné de vol en bande, que le sursis pouvait être révoqué et qu’il s’exposait alors à une peine privative de liberté de plus d’un an. Par conséquent, il y a lieu de constater que le recourant se trouvait dans un cas de défense obligatoire au sens de l’art. 130 let. b CPP dès son audition devant la police le 29 janvier 2016. Il résulte de ce qui précède que c’est à tort que les policiers ont mené, respectivement poursuivi l’interrogatoire du recourant sans veiller à ce qu’il soit assisté d’un défenseur. Le procès-verbal d’audition du recourant devant la police du 29 janvier 2016 n’est par conséquent pas exploitable. Partant, il doit être retiré du dossier pénal, conservé à part jusqu’à la clôture définitive de la procédure, puis détruit conformément à l’art. 141 al. 5 CPP.</w:t>
      </w:r>
    </w:p>
    <w:p>
      <w:r>
        <w:rPr>
          <w:b/>
        </w:rPr>
        <w:t>E. 3</w:t>
      </w:r>
    </w:p>
    <w:p>
      <w:r>
        <w:t>En définitive, le recours, bien fondé, doit être admis et l’ordonnance du Ministère public de l'arrondissement de Lausanne du 9 mars 2016 réformée dans le sens des considérants qui précèdent. 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fixés à 540 fr., plus la TVA, par 43 fr. 20, soit à 583 fr. 20 au total, seront laissés à la charge de l'Etat (art. 423 al. 1 CPP). Par ces motifs, la Chambre des recours pénale prononce : I. Le recours est admis. II. L’ordonnance du 9 mars 2016 est réformée en ce sens que le procès-verbal d’audition devant la police d’A.________ du 29 janvier 2016 est retranché du dossier, conservé à part jusqu’à la clôture définitive de la procédure, puis sera détruit. III. L’indemnité allouée au défenseur d’office d’A.________ est fixée à 583 fr. 20 (cinq cent huitante-trois francs et vingt centimes). IV. Les frais de la procédure de recours, par 770 fr. (sept cent septante francs), ainsi que l’indemnité due au défenseur d’office, par 583 fr. 20 (cinq cent huitante-trois francs et vingt centimes), sont laissés à la charge de l’Etat. V. L’arrêt est exécutoire. Le président :               La greffière : Du Le présent arrêt, dont la rédaction a été approuvée à huis clos, est notifié, par l'envoi d'une copie complète, à : - Me Delphine Rochat, avocate (pour A.________), - Ministère public central, et communiqué à : - M. le Procureur de l’arrondissement de Lausanne, - Me Nicolas Blanc, avocat (pour C.________), - M.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