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261 vom 14. April 2016</w:t>
      </w:r>
    </w:p>
    <w:p>
      <w:r>
        <w:t>VD Tribunal cantonal, 2016-04-14, FR</w:t>
      </w:r>
    </w:p>
    <w:p>
      <w:r>
        <w:rPr>
          <w:b/>
        </w:rPr>
        <w:t xml:space="preserve">Quelle: </w:t>
      </w:r>
      <w:r>
        <w:t>https://mcp.opencaselaw.ch/entscheid/vd_findinfo_D_cision___2016___261</w:t>
      </w:r>
    </w:p>
    <w:p>
      <w:r>
        <w:t>FR: VD_FINDINFO Décision / 2016 / 261 du 14 avril 2016</w:t>
      </w:r>
    </w:p>
    <w:p>
      <w:r>
        <w:t>IT: VD_FINDINFO Décision / 2016 / 261 del 14 aprile 2016</w:t>
      </w:r>
    </w:p>
    <w:p>
      <w:pPr>
        <w:pStyle w:val="Heading2"/>
      </w:pPr>
      <w:r>
        <w:t>Regeste</w:t>
      </w:r>
    </w:p>
    <w:p>
      <w:r>
        <w:t>RÉCUSATION, DEMANDE ADRESSÉE À L'AUTORITÉ, REJET DE LA DEMANDE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N.________ à l’encontre de la Procureure X.________ (art. 13 de la loi d’introduction du code de procédure pénale suisse du 19 mai 2009 [LVCPP]; RSV 312.01).</w:t>
      </w:r>
    </w:p>
    <w:p>
      <w:r>
        <w:rPr>
          <w:b/>
        </w:rPr>
        <w:t>E. 2.1</w:t>
      </w:r>
    </w:p>
    <w:p>
      <w:r>
        <w:t>L'art. 56 let. a à f CPP énonce divers motifs de récusation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Selon la jurisprudence,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Une appréciation divergente quant à la nécessité de procéder à une mesure d'instruction ne suffit en principe pas pour mettre en doute l'impartialité du procureur (ATF 138 IV 142 consid. 2.3 ; TF 1B_129/2014 du 16 mai 2014 consid. 2.3).</w:t>
      </w:r>
    </w:p>
    <w:p>
      <w:r>
        <w:rPr>
          <w:b/>
        </w:rPr>
        <w:t>E. 2.2</w:t>
      </w:r>
    </w:p>
    <w:p>
      <w:r>
        <w:t>En l’espèce, le recourant fait grief à la Procureure d’avoir refusé de verser au dossier une levée du secret de fonction de la psychologue de la victime pour son rapport du 16 mars 2015 et de n’avoir pas pu participer à l’administration de cette preuve. Cependant, conformément aux considérants de l’arrêt de la Cour de céans du 6 octobre 2015 (n° 647), le recourant a eu l’occasion de poser des questions complémentaires à la psychologue Y.________ lors de son audition du 3 février 2016 (cf. PV aud. 7). En outre, celle-ci a produit une levée du secret de fonction pour cette audition (P. 69/1). On ne saurait dès lors reprocher à la magistrate une quelconque prévention au motif qu’elle a refusé de demander une seconde levée du secret de fonction. Pour le surplus, les autres griefs soulevés par le recourant concernent la manière dont la Procureure a conduit son instruction (limitation de l’accès au dossier, refus de réquisitions de preuves ou manière de procéder à l’audition de la victime). On ne discerne toutefois pas, de manière générale, d’erreurs particulièrement lourdes ou répétées qui, constitutives de violations graves des devoirs du magistrat, pourraient fonder une suspicion de partialité. Il résulte de ce qui précède qu’il n’existe aucun motif justifiant la récusation de la Procureure X.________.</w:t>
      </w:r>
    </w:p>
    <w:p>
      <w:r>
        <w:rPr>
          <w:b/>
        </w:rPr>
        <w:t>E. 3</w:t>
      </w:r>
    </w:p>
    <w:p>
      <w:r>
        <w:t>En définitive, la demande de récusation présentée le 29 mars 2016 par N.________ contre la Procureure X.________ doit être rejetée. Les frais de la procédure de récusation, constitués en l’espèce de l’émolument de décision, par 660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requérant, conformément à l’art. 59 al. 4, 2 e phrase CPP. Le remboursement à l’Etat de l’indemnité allouée au défenseur d’office de N.________ ne sera exigible que pour autant que la situation économique de ce dernier se soit améliorée. Par ces motifs, la Chambre des recours pénale prononce : I. La demande de récusation présentée le 29 mars 2016 par N.________ contre la Procureure X.________ est rejetée. II. L’indemnité allouée au défenseur d’office de N.________ est fixée à 583 fr. 20 (cinq cent huitante-trois francs et vingt centimes). III. Les frais de la décision, par 660 fr. (six cent soixante francs), ainsi que l’indemnité due au défenseur d’office de N.________, par 583 fr. 20 (cinq cent huitante-trois francs et vingt centimes), sont mis à la charge de ce dernier. IV. Le remboursement à l’Etat de l’indemnité allouée au chiffre II ci-dessus ne sera exigible que pour autant que la situation économique de N.________ se soit améliorée. V. La présente décision est exécutoire. Le président :               La greffière : Du La présente décision, dont la rédaction a été approuvée à huis clos, est notifiée, par l'envoi d'une copie complète, à : - Me Patrick Michod, avocat (pour N.________),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