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252 vom 13. April 2016</w:t>
      </w:r>
    </w:p>
    <w:p>
      <w:r>
        <w:t>VD Tribunal cantonal, 2016-04-13, FR</w:t>
      </w:r>
    </w:p>
    <w:p>
      <w:r>
        <w:rPr>
          <w:b/>
        </w:rPr>
        <w:t xml:space="preserve">Quelle: </w:t>
      </w:r>
      <w:r>
        <w:t>https://mcp.opencaselaw.ch/entscheid/vd_findinfo_D_cision___2016___252</w:t>
      </w:r>
    </w:p>
    <w:p>
      <w:r>
        <w:t>FR: VD_FINDINFO Décision / 2016 / 252 du 13 avril 2016</w:t>
      </w:r>
    </w:p>
    <w:p>
      <w:r>
        <w:t>IT: VD_FINDINFO Décision / 2016 / 252 del 13 aprile 2016</w:t>
      </w:r>
    </w:p>
    <w:p>
      <w:pPr>
        <w:pStyle w:val="Heading2"/>
      </w:pPr>
      <w:r>
        <w:t>Regeste</w:t>
      </w:r>
    </w:p>
    <w:p>
      <w:r>
        <w:t>DÉTENTION PROVISOIRE, RISQUE DE RÉCIDIVE, RÉCUSATION, SOUPÇON | 221 al. 1 let. c CPP (CH), 227 CPP (CH), 393 al. 1 let. c CPP (CH), 56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 CPP).</w:t>
      </w:r>
    </w:p>
    <w:p>
      <w:r>
        <w:rPr>
          <w:b/>
        </w:rPr>
        <w:t>E. 2.2</w:t>
      </w:r>
    </w:p>
    <w:p>
      <w:r>
        <w:t>En l’espèce, le recourant soutient que le premier juge s’est fondé uniquement sur des éléments à charge et en particulier sur les déclarations contradictoires des parties plaignantes pour justifier son maintien en détention provisoire, ce qui violerait le principe de la présomption d’innocence. Sur ce point, on relèvera qu’il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Or, tel est le cas en l’espèce. En effet, nonobstant les dénégations du recourant, on ne peut que constater qu’il est mis en cause dans deux cas distincts pour des actes d’ordre sexuel avec des enfants, le deuxième cas ayant été dénoncé en cours d’enquête. A ce stade de la procédure et contrairement à ce que soutient l’intéressé, les déclarations des parties plaignantes apparaissent cohérentes et crédibles. A cela s’ajoute que pour les faits ayant eu lieu le 2 octobre 2015, le recourant aurait été surpris par la mère de l’enfant en train de repousser celui-ci, qui était sur lui, le pantalon et la fermeture éclair de la fillette étant ouverts et le haut de son pantalon baissé au niveau des hanches. Selon la mère de l’enfant, le recourant avait son pantalon et sa fermeture éclair ouverts et son pénis était visible. Or, en l’état, il n’y a pas lieu de douter de la véracité des déclarations de la mère, qui aurait surpris l’intéressé en flagrant délit. Au contraire, ce deuxième cas ne fait que renforcer les soupçons dirigés contre le recourant. Il est en outre établi que celui-ci consulte des sites spécialisés dans les photos de fillettes. Au vu des éléments qui précèdent, il existe, à ce stade de la procédure, des indices suffisamment sérieux de culpabilité à l’encontre d’K.________ pour justifier son maintien en détention provisoire. Pour le surplus, le recourant plaide le fond. Cela ne relève cependant pas de la compétence de la Cour de céans, mais de celle du juge du fond.</w:t>
      </w:r>
    </w:p>
    <w:p>
      <w:r>
        <w:rPr>
          <w:b/>
        </w:rPr>
        <w:t>E. 3.1</w:t>
      </w:r>
    </w:p>
    <w:p>
      <w:r>
        <w:t>Le recourant conteste l’existence d’un risque de récidive (art. 221 al. 1 let. c CPP).</w:t>
      </w:r>
    </w:p>
    <w:p>
      <w:r>
        <w:rPr>
          <w:b/>
        </w:rPr>
        <w:t>E. 3.2</w:t>
      </w:r>
    </w:p>
    <w:p>
      <w:r>
        <w:t>Pour retenir un risque de récidive, le pronostic doit être très défavorable et les délits dont la réitération est redoutée doivent être graves (ATF 137 IV 84 consid. 4.5, JdT 2011 IV 325; ATF 135 I 71 consid. 2.3; ATF 133 I 270 consid. 2.2 et les arrêts cités, JdT 2011 IV 3; TF 1B_39/2013 du 14 février 2013 consid. 2.1 ; CREP 29 juillet 2014/519).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JdT 2011 IV 325; TF 1B_39/2013 cité).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consid. 4.5).</w:t>
      </w:r>
    </w:p>
    <w:p>
      <w:r>
        <w:rPr>
          <w:b/>
        </w:rPr>
        <w:t>E. 3.3</w:t>
      </w:r>
    </w:p>
    <w:p>
      <w:r>
        <w:t>En l’espèce, il ressort du dossier que le recourant a commis de nouveaux agissements en cours d’enquête, alors qu’il faisait déjà l’objet d’une instruction pénale en raison de faits similaires. Son casier judiciaire, qui fait état de trois condamnations entre 2008 et 2011, notamment pour pornographie, ne plaide pas non plus en sa faveur. En outre, le recourant refuse de collaborer dans le cadre de la mise en œuvre de l’expertise ordonnée par le procureur, alors que les résultats de l’expertise permettraient d'évaluer le risque de récidive et la dangerosité du recourant. On relèvera en outre que l’intéressé avait déjà fait l’objet d’une enquête en 2009 ensuite de plaintes pour actes d’ordre sexuel à l’endroit de deux fillettes de son quartier. Pour le surplus, il s’impose d’être d’autant plus prudent que les biens juridiques sont importants. Au vu de l’ensemble des éléments qui précèdent, le risque de récidive est concret et justifie la mise en détention provisoire du recourant. Enfin, aucune mesure de substitution ne saurait pallier le risque de réitération.</w:t>
      </w:r>
    </w:p>
    <w:p>
      <w:r>
        <w:rPr>
          <w:b/>
        </w:rPr>
        <w:t>E. 4</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 En l’espèce, le recourant est détenu depuis le 4 octobre 2015, soit depuis près de six mois et demi. Compte tenu de la gravité des infractions qui lui sont reprochées et de ses antécédents, le recourant s'expose à une peine d’une durée supérieure à celle de la détention provisoire subie à ce jour. Le principe de la proportionnalité demeure donc respecté.</w:t>
      </w:r>
    </w:p>
    <w:p>
      <w:r>
        <w:rPr>
          <w:b/>
        </w:rPr>
        <w:t>E. 5</w:t>
      </w:r>
    </w:p>
    <w:p>
      <w:r>
        <w:t>Il résulte de ce qui précède que le recours dirigé contre l’ordonnance du 29 mars 2016 doit être rejeté. II. Requête de récusation 1. 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K.________ à l’encontre du Procureur X.________ (art. 13 LVCPP [loi vaudoise du 19 mai 2009 d’introduction du code de procédure pénale suisse ; RSV 312.01]). 2. L'art. 56 let. a à f CPP énonce divers motifs de récusation qualifiés à l'égard de toute personne exerçant une fonction au sein d’une autorité pénale. L'art. 56 let. f CPP a la portée d'une clause générale recouvrant tous les motifs de récusation non expressément prévus aux lettres précédentes (TF 1B_202/2013 du 23 juillet 2013 consid. 2.1.2 ; TF 6B_629/2011 du 19 décembre 2011 consid.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ATF 134 I 20 consid. 4.2; TF 1B_105/2013 du 21 mai 2013 consid. 2.1). Même si elles sont établies, des erreurs de procédure ou d'appréciation commises par un magistrat ne suffisent pas à fonder objectivement un soupçon de prévention; seules des erreurs particulièrement lourdes ou répétées, constituant des violations graves de ses devoirs, peuvent justifier le soupçon de parti pris (ATF 116 Ia 135 consid. 3a; ATF 114 Ia 153 consid. 3b/bb; ATF 111 Ia 259 consid. 3b/aa et les références citées).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Selon la jurisprudence, il ne saurait y avoir matière à récusation dans les cas, fréquents, où un procureur est chargé d'instruire différentes plaintes pénales réciproques. Une administration rationnelle de la justice commande au contraire, dans de tels cas, que l'ensemble des faits soient élucidés par le même magistrat (TF 1B_105/2013 du 21 mai 2013 consid. 2.1 ; TF 1B_415/2011 du 25 octobre 2011 consid. 2.2 ; CREP 20 novembre 2014/835). 3. En l’espèce, le requérant, qui se borne à affirmer qu’il est innocent, ne fait valoir aucun motif valable de récusation. On ne saurait en effet reprocher au procureur de faire son travail en demandant la prolongation de la détention provisoire d’K.________, respectivement en démontrant qu’il existe des soupçons suffisants ainsi que l’existence d’un risque concret de récidive pour justifier le maintien en détention provisoire du requérant, lesquels sont d’ailleurs confirmés par la Cour de céans (cf. ch. II ci-dessus). On relèvera en outre le caractère manifestement abusif de cette nouvelle demande de récusation. En effet, le requérant multiplie les requêtes de récusation contre le même magistrat, sans motif valable (cf. CREP 27 janvier 2016/68 ; CREP 5 janvier 2016/4 ; CREP 1 er décembre 2015/786), et ne respecte donc pas le principe de la bonne foi, qui s’applique aussi au prévenu (TF 1B_321/2013 du 30 octobre 2013 consid. 2.1 ; TF 6B_214/2011 du 13 septembre 2011 consid. 4.1.3). Partant, aucune circonstance constatée objectivement ne suggère que le procureur aurait fait preuve de partialité dans la conduite de son enquête et qu’il nourrirait une quelconque prévention à l’endroit du requérant. Il n’existe dès lors aucun motif justifiant la récusation du Procureur X.________ selon l’art. 56 let. f CPP. III. Conclusion Il résulte de ce qui précède que le recours et la requête de récusation déposés par K.________ doivent être rejetés et l’ordonnance attaquée confirmée. Les frais de la procédure de recours, constitués du seul émolument d’arrêt, par 990 fr. (art. 20 al. 1 TFIP [tarif des frais de procédure et indemnités en matière pénale du 28 septembre 2010 ; RSV 312.03.1]), seront mis à la charge du recourant, qui succombe (art. 59 al. 4 et 428 al. 1 CPP). Par ces motifs, la Chambre des recours pénale prononce : I. Le recours est rejeté. II. L’ordonnance du 29 mars 2016 est confirmée. III. La requête de récusation est rejetée. IV. Les frais d’arrêt, par 990 fr. (neuf cent nonante francs), sont mis à la charge d’K.________. V. Le présent arrêt est exécutoire. Le président :               La greffière : Du Le présent arrêt, dont la rédaction a été approuvée à huis clos, est notifié, par l'envoi d'une copie complète, à : - Me Christine Graa, avocate (pour K.________), - M. K.________, - Ministère public central ; et communiqué à : - Me Patrick Michod, avocat (pour [...]), - Me Julien Gafner, avocat (pour [...] et [...]), - Me Laurent Schuler, avocat (pour [...] et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