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245 vom 12. April 2016</w:t>
      </w:r>
    </w:p>
    <w:p>
      <w:r>
        <w:t>VD Tribunal cantonal, 2016-04-12, FR</w:t>
      </w:r>
    </w:p>
    <w:p>
      <w:r>
        <w:rPr>
          <w:b/>
        </w:rPr>
        <w:t xml:space="preserve">Quelle: </w:t>
      </w:r>
      <w:r>
        <w:t>https://mcp.opencaselaw.ch/entscheid/vd_findinfo_D_cision___2016___245</w:t>
      </w:r>
    </w:p>
    <w:p>
      <w:r>
        <w:t>FR: VD_FINDINFO Décision / 2016 / 245 du 12 avril 2016</w:t>
      </w:r>
    </w:p>
    <w:p>
      <w:r>
        <w:t>IT: VD_FINDINFO Décision / 2016 / 245 del 12 aprile 2016</w:t>
      </w:r>
    </w:p>
    <w:p>
      <w:pPr>
        <w:pStyle w:val="Heading2"/>
      </w:pPr>
      <w:r>
        <w:t>Regeste</w:t>
      </w:r>
    </w:p>
    <w:p>
      <w:r>
        <w:t>DÉTENTION{INCARCÉRATION}, RISQUE DE COLLUSION, RISQUE DE RÉCIDIVE, SOUPÇON | 221 al. 1 let. b CPP (CH), 221 al. 1 let. c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w:t>
      </w:r>
    </w:p>
    <w:p>
      <w:r>
        <w:t>e éd., Bâle 2014, n. 3 ad art. 221 CPP).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ATF 116 Ia 413 consid. 3c ; TF 1B_423/2010 du 17 janvier 2011 consid. 4.1 ; TF 1B_410/2010 du 23 décembre 2010 consid. 4.1 ; Forster, op. cit., n. 3 ad art. 221 CPP).</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consid. 2; Schmocker, in: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116 Ia 143 consid. 3c ; TF 1B_423/2010 du 17 janvier 2011 consid. 4.1 ; Piquerez, Traité de procédure pénale suisse, 2 e éd., Zurich 2006, n. 845 ; Schmocker, op. cit., n. 8 ad art. 221 CPP, p. 1025 : Forster, in : Niggli/Heer/Wiprächtiger [éd.], Basler Kommentar, Schweizerische Strafprozessordnung,</w:t>
      </w:r>
    </w:p>
    <w:p>
      <w:r>
        <w:rPr>
          <w:b/>
        </w:rPr>
        <w:t>E. 2.2</w:t>
      </w:r>
    </w:p>
    <w:p>
      <w:r>
        <w:t>En l’espèce, dans son arrêt du 28 décembre 2015, la Chambre des recours pénale a considéré que les soupçons étaient trop ténus pour justifier le maintien de la détention provisoire du recourant. La situation a toutefois évolué. M.________ a en effet formellement reconnu, le 16 février 2016, O.________ comme étant l’un de ses agresseurs. Dans son audition d’arrestation du 1 er avril 2016, ce dernier a admis son implication ainsi que celle de T.________ et de A.________ dans le brigandage perpétré le 29 août 2015 à l’encontre de M.________. Cette mise en cause formelle étaye ainsi les premiers éléments de l’enquête ayant abouti à la première incarcération du recourant. Compte tenu de ces éléments, il existe une présomption suffisamment sérieuse de culpabilité à l’encontre de T.________.</w:t>
      </w:r>
    </w:p>
    <w:p>
      <w:r>
        <w:rPr>
          <w:b/>
        </w:rPr>
        <w:t>E. 3.1</w:t>
      </w:r>
    </w:p>
    <w:p>
      <w:r>
        <w:t>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nn. 14 et 15 ad art. 221 CPP; cf. ATF 137 IV 122 consid. 6.2 et 6.4) –, vise à garantir la constatation exacte et complète des faits. En l’espèce, le Ministère public a expliqué qu’en raison de la mise en cause formelle du recourant et de A.________, des auditions de confrontations devront avoir lieu afin d’établir les faits et l’implication exacte des prévenus dans cette affaire. Il faut donc éviter que le recourant n’entrave l’instruction en prenant contact avec ses complices et en cherchant à influencer la victime ou d’autres témoins. Au vu de ce qui précède, le risque de collusion s'oppose, en l’état, à la levée de la détention provisoire du recourant.</w:t>
      </w:r>
    </w:p>
    <w:p>
      <w:r>
        <w:rPr>
          <w:b/>
        </w:rPr>
        <w:t>E. 3.2</w:t>
      </w:r>
    </w:p>
    <w:p>
      <w:r>
        <w:t>Les conditions de l’art. 221 al. 1 CPP étant alternatives (TF 1B_249/2011 du 7 juin 2011 consid. 2.4), l’existence d’un risque de collusion dispense d’examiner si la détention provisoire s’impose également en raison d’un risque de fuite et de récidive. Par surabondance, on peut toutefois relever que le risque de réitération est également réalisé pour les motifs exposés ci-après.</w:t>
      </w:r>
    </w:p>
    <w:p>
      <w:r>
        <w:rPr>
          <w:b/>
        </w:rPr>
        <w:t>E. 3.2.1</w:t>
      </w:r>
    </w:p>
    <w:p>
      <w:r>
        <w:t>Le maintien en détention ne peut se justifier en raison d’un risque de réitération (art. 221 al. 1 let. c CPP) que si le pronostic est très défavorable et si les délits dont l'autorité redoute la réitération sont graves (ATF 137 IV 84 consid. 4.5, JT 2011 IV 325; ATF 135 I 71 consid. 2.3; ATF 133 I 270 consid. 2.2 et les arrêts cités, JT 2011 IV 3; TF 1B_39/2013 du 14 février 2013 consid. 2.1).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(ATF 123 I 268 consid. 2e).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consid. 4.5).</w:t>
      </w:r>
    </w:p>
    <w:p>
      <w:r>
        <w:rPr>
          <w:b/>
        </w:rPr>
        <w:t>E. 3.2.2</w:t>
      </w:r>
    </w:p>
    <w:p>
      <w:r>
        <w:t>En l’espèce, le casier judiciaire du recourant fait état de trois condamnations prononcées en 2006 et 2009 notamment pour lésions corporelles simples, lésions corporelles simples (avec du poison, une arme ou un objet dangereux), vols, violations de domicile et dommages à la propriété. Les peines privatives de liberté subies par le recourant ne l’ont apparemment pas dissuadé de récidiver.</w:t>
      </w:r>
    </w:p>
    <w:p>
      <w:r>
        <w:rPr>
          <w:b/>
        </w:rPr>
        <w:t>E. 3.3</w:t>
      </w:r>
    </w:p>
    <w:p>
      <w:r>
        <w:t>Enfin, aucune mesure de substitution n’est à même, en l’état, de prévenir les risques retenus. Le maintien de T.________ en détention provisoire est ainsi justifié.</w:t>
      </w:r>
    </w:p>
    <w:p>
      <w:r>
        <w:rPr>
          <w:b/>
        </w:rPr>
        <w:t>E. 4.1</w:t>
      </w:r>
    </w:p>
    <w:p>
      <w:r>
        <w:t>Concernant le respect du principe de la proportionnalité (art. 212 al. 3 CPP), il y a lieu de relever que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w:t>
      </w:r>
    </w:p>
    <w:p>
      <w:r>
        <w:rPr>
          <w:b/>
        </w:rPr>
        <w:t>E. 4.2</w:t>
      </w:r>
    </w:p>
    <w:p>
      <w:r>
        <w:t>En l’espèce, les faits reprochés aux recourant sont très graves et il s'expose à une peine privative de liberté d’une durée bien supérieure à celle de la détention provisoire subie à ce jour. Le principe de la proportionnalité de la détention provisoire demeure dès lors respecté.</w:t>
      </w:r>
    </w:p>
    <w:p>
      <w:r>
        <w:rPr>
          <w:b/>
        </w:rPr>
        <w:t>E. 5</w:t>
      </w:r>
    </w:p>
    <w:p>
      <w:r>
        <w:t>Il résulte de ce qui précède que le recours, manifestement mal fondé, doit être rejeté sans autres échanges d’écritures (art. 390 al. 2 CPP). Les frais de la procédure de recours, constitués en l’espèce de l’émolument d'arrêt, par 880 fr. (art. 20 al. 1 TFIP [tarif des frais judiciaires de procédure et indemnités en matière pénale du 28 septembre 2010; RSV 312.03.1]) et des frais imputables à la défense d’office (art. 422 al. 1 et 2 let. a CPP), fixés à 540 fr., plus la TVA par 43 fr. 20, soit à 583 fr. 20 au total, seront mis à la charge de T.________,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 avril 2016 est confirmée. III. L’indemnité allouée au défenseur d’office de T.________ est fixée à 583 fr. 20 (cinq cent huitante-trois francs et vingt centimes). IV. Les frais d’arrêt, par 880 fr. (huit cent huitante francs), ainsi que l’indemnité due au défenseur d’office de T.________, par 583 fr. 20 (cinq cent huitante-trois francs et vingt centimes), sont mis à la charge de ce dernier. V. Le remboursement à l'Etat de l'indemnité allouée au chiffre III ci-dessus ne sera exigible que pour autant que la situation économique de T.________ se soit améliorée. VI. Le présent arrêt est exécutoire. Le président :               La greffière : Du Le présent arrêt, dont la rédaction a été approuvée à huis clos, est notifié, par l'envoi d'une copie complète, à : - Me Xavier Rubli, avocat (pour T.________), - Ministère public central, et communiqué à : - M. le Président du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