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244 vom 26. März 2016</w:t>
      </w:r>
    </w:p>
    <w:p>
      <w:r>
        <w:t>VD Tribunal cantonal, 2016-03-26, FR</w:t>
      </w:r>
    </w:p>
    <w:p>
      <w:r>
        <w:rPr>
          <w:b/>
        </w:rPr>
        <w:t xml:space="preserve">Quelle: </w:t>
      </w:r>
      <w:r>
        <w:t>https://mcp.opencaselaw.ch/entscheid/vd_findinfo_D_cision___2016___244</w:t>
      </w:r>
    </w:p>
    <w:p>
      <w:r>
        <w:t>FR: VD_FINDINFO Décision / 2016 / 244 du 26 mars 2016</w:t>
      </w:r>
    </w:p>
    <w:p>
      <w:r>
        <w:t>IT: VD_FINDINFO Décision / 2016 / 244 del 26 marzo 2016</w:t>
      </w:r>
    </w:p>
    <w:p>
      <w:pPr>
        <w:pStyle w:val="Heading2"/>
      </w:pPr>
      <w:r>
        <w:t>Regeste</w:t>
      </w:r>
    </w:p>
    <w:p>
      <w:r>
        <w:t>NON-LIEU, CALOMNIE, DIFFAMATION, PREUVE LIBÉRATOIRE, BONNE FOI SUBJECTIVE | 173 ch. 2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a été interjeté dans le délai légal (art. 396 al. 1 CPP), l’ordonnance ayant été reçue par la plaignante le 26 janvier 2016 selon l’allégué crédible de la partie, qui a qualité pour recourir (art. 382 al. 1 CPP). Satisfaisant en outre aux conditions de forme posées par la loi (cf. l’art. 385 al. 1 CPP), le recours est recevable. 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 2.2 Se rend coupable de diffamation notamment celui qui, en s'adressant à un tiers, aura accusé une personne ou jeté sur elle le soupçon de tenir une conduite contraire à l'honneur, ou de tout autre fait propre à porter atteinte à sa considération (art. 173 ch. 1 CP [Code pénal; RS 311.0]). L'inculpé n'encourra aucune peine s'il prouve que les allégations qu'il a articulées ou propagées sont conformes à la vérité ou qu'il avait des raisons sérieuses de les tenir de bonne foi pour vraies (art. 173 ch. 2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2.3 La Procureure a considéré que le but poursuivi par le prévenu n’était nullement de nuire à la réputation de la plaignante, mais bien de protéger l’enfant. Excluant la calomnie, la magistrate a ainsi estimé que le prévenu avait, à tout le moins, des raisons sérieuses de tenir pour vraie l’allégation selon laquelle la mère avait tout fait pour éloigner la jeune fille de son père ainsi que des proches de ce dernier, soit qu’il était de bonne foi. Partant, la preuve libératoire prévue à l’art. 173 ch.</w:t>
      </w:r>
    </w:p>
    <w:p>
      <w:r>
        <w:rPr>
          <w:b/>
        </w:rPr>
        <w:t>E. 2</w:t>
      </w:r>
    </w:p>
    <w:p>
      <w:r>
        <w:t>CP a été tenue pour apportée. Sans contester expressément le classement pour ce qui est du chef de prévention de calomnie, la recourante soutient en substance que le prévenu a agi dolosivement en faisant délibérément fi des faits objectifs, qu’il connaissait ou devait connaître, de sorte qu’il ne saurait être admis à apporter la preuve de sa bonne foi. 2.3.1 La calomnie est exclue en l’espèce. En effet, aucun élément du dossier ne permet de retenir que le prévenu aurait connu la fausseté de ses allégations, faute pour celles-ci de pouvoir avoir été d’emblée tenues pour erronées lors du signalement; le conflit de loyauté de l’enfant dans la séparation conflictuelle des parents n’est du reste pas contesté. Sous l’angle de la diffamation, la seule question à trancher est celle de savoir si le prévenu a apporté la preuve libératoire de sa bonne foi. 2.3.2 La preuve de la bonne foi ne peut être apportée sur la base de faits postérieurs aux allégations incriminées (ATF 107 IV 34 consid. 4a, JdT 1982 IV 78, et les réf. citées; Favre/Pellet/Stoudmann, Code pénal annoté, 3 e éd., Lausanne 2007/2011, n. 2.6 ad art. 173 CP). Cette jurisprudence répond à une partie de la critique de la recourante, qui plaide à juste titre que l’on ne saurait utiliser les éléments subséquents au signalement pour déterminer si le prévenu était de bonne foi. Cela ne saurait toutefois suffire à exclure la bonne foi. En effet, il apparaît que le signalement était de peu postérieur à une tentative de suicide de la fille de la plaignante. Tous les intervenants étaient inquiets alors même qu’un placement de l’enfant était en cours au CTJA. L’allégation incriminée a donc été faite au bénéfice de motifs légitimes, soit suffisants, ce qui rend la preuve de la bonne foi recevable avant tout autre examen (cf. Favre/Pellet/ Stoudmann, op. cit., n. 3.2 ad art. 123 CP). Certes, le prévenu est, de son propre aveu, un proche ami du père de l’enfant. Le père est retourné au Portugal après une condamnation à une peine privative de liberté de 18 mois, sous déduction de 125 jours de détention avant jugement, pour escroquerie, prononcée par jugement rendu le 22 juin 2011 par le Tribunal de police de l’arrondissement de La Côte (P. 5/17). On ne saurait dès lors écarter une certaine orientation du prévenu en défaveur de la plaignante dans ses démarches. Il n’en reste cependant pas moins que la souffrance de l’enfant – confirmée par tous les intervenants, s’agissant notamment de sa pédopsychiatre, et confortée a posteriori par sa tentative de suicide – justifiait le signalement. De surcroît, l’absence du père pouvait, en toute bonne foi, être tenue pour l’une des raisons de cette souffrance. Pour le reste, si l’assertion selon laquelle la recourante avait « (…) tout fait pour l’éloigner (sa fille, réd .) de son père ainsi que des proches de ce dernier (…) » s’est avérée erronée, elle ne pouvait pas moins être alléguée de bonne foi dans les circonstances du moment, à savoir immédiatement après un appel adressé au prévenu par un ami proche l’informant de la tentative de suicide de sa fille. La preuve libératoire prévue à l’art. 173 ch. 2 CP apparaît ainsi apportée. Dans de telles circonstances, un renvoi en jugement de l’intimé en jugement aboutirait vraisemblablement à un acquittement plutôt qu’à une condamnation. 2.3.3 C’est donc à juste titre que la Procureure a classé la procédure.</w:t>
      </w:r>
    </w:p>
    <w:p>
      <w:r>
        <w:rPr>
          <w:b/>
        </w:rPr>
        <w:t>E. 3</w:t>
      </w:r>
    </w:p>
    <w:p>
      <w:r>
        <w:t>En définitive, le recours, manifestement mal fondé, doit être rejeté sans autre échange d’écritures (art. 390 CPP) et l'ordonnance 22 janvier 2016 confirmée. Les frais de la procédure de recours, constitués en l'espèce du seul émolument d'arrêt, par 770 fr. (art. 422 al. 1 CPP et 20 al. 1 TFIP [Tarif des frais de procédure et indemnités en matière pénale du 28 septembre 2010; RSV 312.03.1]), seront mis à la charge de la recourante, qui succombe (art. 423 al. 1 CPP ). Le montant de 550 fr. déjà versé par la recourante le 16 février 2016 à titre de sûretés (art. 383 al. 1 CPP) sera imputé sur les frais mis à sa charge (art. 7 TFIP). Par ces motifs, la Chambre des recours pénale prononce : I. Le recours est rejeté. II. L’ordonnance du 22 janvier 2016 est confirmée. III. Les frais d’arrêt, par 770 fr. (sept cent septante francs), sont mis à la charge de la recourante. IV. Le montant de 550 fr. (cinq cent cinquante francs) déjà versé par la recourante à titre de sûretés est imputé sur les frais mis à sa charge au chiffre III ci-dessus. V. Le présent arrêt est exécutoire. Le président :               Le greffier : Du Le présent arrêt, dont la rédaction a été approuvée à huis clos, est notifié, par l'envoi d'une copie complète, à : - Mme C.________, - Me Thierry de Mestral, avocat (pour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