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242 vom 12. April 2016</w:t>
      </w:r>
    </w:p>
    <w:p>
      <w:r>
        <w:t>VD Tribunal cantonal, 2016-04-12, FR</w:t>
      </w:r>
    </w:p>
    <w:p>
      <w:r>
        <w:rPr>
          <w:b/>
        </w:rPr>
        <w:t xml:space="preserve">Quelle: </w:t>
      </w:r>
      <w:r>
        <w:t>https://mcp.opencaselaw.ch/entscheid/vd_findinfo_D_cision___2016___242</w:t>
      </w:r>
    </w:p>
    <w:p>
      <w:r>
        <w:t>FR: VD_FINDINFO Décision / 2016 / 242 du 12 avril 2016</w:t>
      </w:r>
    </w:p>
    <w:p>
      <w:r>
        <w:t>IT: VD_FINDINFO Décision / 2016 / 242 del 12 aprile 2016</w:t>
      </w:r>
    </w:p>
    <w:p>
      <w:pPr>
        <w:pStyle w:val="Heading2"/>
      </w:pPr>
      <w:r>
        <w:t>Regeste</w:t>
      </w:r>
    </w:p>
    <w:p>
      <w:r>
        <w:t>RECTIFICATION DE LA DÉCISION | 83 CPP (CH)</w:t>
      </w:r>
    </w:p>
    <w:p>
      <w:pPr>
        <w:pStyle w:val="Heading2"/>
      </w:pPr>
      <w:r>
        <w:t>Volltext</w:t>
      </w:r>
    </w:p>
    <w:p>
      <w:r>
        <w:t>Vaud Tribunal cantonal Cour des assurances sociales 12.04.2016 Décision / 2016 / 242</w:t>
      </w:r>
    </w:p>
    <w:p>
      <w:r>
        <w:t>RECTIFICATION DE LA DÉCISION | 83 CPP (CH)</w:t>
      </w:r>
    </w:p>
    <w:p>
      <w:r>
        <w:t>TRIBUNAL CANTONAL 234 PE08.012914-YNT CHAMBRE DES RECOURS PENALE __________________________________________ Arrêt du 12 avril 2016 __________________ Composition :               M. Maillard , président MM. Krieger et Abrecht, juges Greffière :              Mme Cattin ***** Art. 83 al. 1 CPP Statuant sur la demande de rectification de l’arrêt rendu le 1 er mars 2016 (n° 139) présentée le 6 avril 2016 par l'avocat T.________ dans la cause n° PE08.012914-YNT , la Chambre des recours pénale considère : En fait et en droit : 1. Par arrêt du 1 er mars 2016, la Chambre des recours pénale du Tribunal cantonal a rejeté le recours interjeté par W.________ le 22 février 2016 (I), a confirmé l’ordonnance de levée de séquestre rendue le 11 février 2016 par le Ministère public central, division criminalité économique et entraide judiciaire (II), a mis à la charge de W.________ les frais de procédure, par 1'100 fr. (III), et a dit que cet arrêt était exécutoire (IV). 2. Par courrier du 6 avril 2016, l’avocat T.________ a informé la Cour de céans qu’il avait été désigné défenseur d’office de W.________ par prononcé rendu le 10 décembre 2009 par le Tribunal d’arrondissement de l’Est vaudois et lui a demandé de statuer sur son indemnité de défenseur d’office. Il a précisé avoir consacré deux heures de travail pour cette affaire et eu pour 7 fr. de débours. Il convient de donner suite cette demande, en application de l'art. 83 al. 1 CPP (cf. CREP 10 mars 2015/172 ; CREP 8 juin 2015/385). L’arrêt rendu le 1 er mars 2016 par la Chambre des recours pénale sera modifié aux chiffres III et IV de son dispositif et complété par l’ajout des chiffres V et VI nouveaux en ce sens qu’une indemnité, fixée à 367 fr. (2 heures à 180 fr. + 7 fr. de débours), plus la TVA par 29 fr. 40, soit au total 396 fr. 40, doit être allouée au défenseur d'office de W.________ pour la procédure de recours. L’indemnité allouée doit être mise à la charge de W.________, qui a succombé au recours (art. 428 al. 1 CPP), le remboursement à l’Etat de cette indemnité n’étant exigible que pour autant que la situation économique de cette dernière se soit améliorée (art. 135 al. 4 CPP). 3. Le présent arrêt rectificatif sera rendu sans frais. Par ces motifs, la Chambre des recours pénale prononce : I. La demande de rectification du 6 avril 2016 est admise. II. L’arrêt du 1 er mars 2016 est modifié comme il suit aux chiffres III et IV de son dispositif et complété par l’ajout des chiffres V et VI nouveaux : « III. L’indemnité allouée au défenseur d’office de W.________ est fixée à 396 fr. 40 (trois cent nonante-six francs et quarante centimes). IV. Les frais d’arrêt, par 1’100 fr. (mille cent francs), ainsi que l’indemnité due au défenseur d’office de W.________, par 396 fr. 40 (trois cent nonante-six francs et quarante centimes), sont mis à la charge de cette dernière. V. Le remboursement à l'Etat de l'indemnité allouée au chiffre III ci-dessus ne sera exigible que pour autant que la situation économique de W.________ se soit améliorée. VI. Le présent arrêt est exécutoire. » III. Le présent arrêt rectificatif, rendu sans frais, est exécutoire. Le président :               La greffière : Du Le présent arrêt, dont la rédaction a été approuvée à huis clos, est notifié, par l'envoi d'une copie complète, à : - Me T.________, avocat (personnellement et pour W.________), - Me Rémy Wyler, avocat (pour [...]), - Ministère public central, et communiqué à : - Banque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