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24 vom 25. Januar 2016</w:t>
      </w:r>
    </w:p>
    <w:p>
      <w:r>
        <w:t>VD Tribunal cantonal, 2016-01-25, FR</w:t>
      </w:r>
    </w:p>
    <w:p>
      <w:r>
        <w:rPr>
          <w:b/>
        </w:rPr>
        <w:t xml:space="preserve">Quelle: </w:t>
      </w:r>
      <w:r>
        <w:t>https://mcp.opencaselaw.ch/entscheid/vd_findinfo_D_cision___2016___24</w:t>
      </w:r>
    </w:p>
    <w:p>
      <w:r>
        <w:t>FR: VD_FINDINFO Décision / 2016 / 24 du 25 janvier 2016</w:t>
      </w:r>
    </w:p>
    <w:p>
      <w:r>
        <w:t>IT: VD_FINDINFO Décision / 2016 / 24 del 25 gennaio 2016</w:t>
      </w:r>
    </w:p>
    <w:p>
      <w:pPr>
        <w:pStyle w:val="Heading2"/>
      </w:pPr>
      <w:r>
        <w:t>Regeste</w:t>
      </w:r>
    </w:p>
    <w:p>
      <w:r>
        <w:t>INDEMNITÉ{EN GÉNÉRAL}, CLASSEMENT DE LA PROCÉDURE | 319 CPP (CH), 429 al. 1 let. a CPP (CH), 430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du 12 décembre 1979; RSV 173.01]). Lorsque, comme en l’espèce, le recours porte uniquement sur les conséquences économiques accessoires d'une décision et que le montant litigieux ne dépasse pas 5'000 fr., un juge de la Cour de céans statue comme juge unique (art. 395 let. b CPP et 13 al. 2 LVCPP ; Juge unique CREP 24 avril 2015/279).</w:t>
      </w:r>
    </w:p>
    <w:p>
      <w:r>
        <w:rPr>
          <w:b/>
        </w:rPr>
        <w:t>E. 1.2</w:t>
      </w:r>
    </w:p>
    <w:p>
      <w:r>
        <w:t>Interjeté dans le délai légal par le prévenu qui a qualité pour recourir (art. 382 al. 1 CPP), et satisfaisant aux conditions de forme posées par la loi (cf. art. 385 al. 1 CPP), le recours d’Z.________ est recevable.</w:t>
      </w:r>
    </w:p>
    <w:p>
      <w:r>
        <w:rPr>
          <w:b/>
        </w:rPr>
        <w:t>E. 2.1</w:t>
      </w:r>
    </w:p>
    <w:p>
      <w:r>
        <w:t>Le recourant conclut à l’allocation d’une indemnité au sens de l’art. 429 CPP. Il fait valoir que l’ensemble de l’instruction menée par le ministère public aurait été consacrée à déterminer sa culpabilité pour le chef d’accusation de menaces, infraction pour laquelle il a finalement bénéficié d’une ordonnance de classement. Il soutient ensuite que l’affaire aurait été suffisamment complexe pour justifier l’intervention d’un avocat, les accusations portées à son encontre étant graves. Enfin, il conteste qu’un comportement fautif ou illicite puisse lui être reproché et affirme que c’est uniquement la plainte d’T.________ qui aurait déclenché l’ouverture d’une nouvelle procédure pénale.</w:t>
      </w:r>
    </w:p>
    <w:p>
      <w:r>
        <w:rPr>
          <w:b/>
        </w:rPr>
        <w:t>E. 2.2</w:t>
      </w:r>
    </w:p>
    <w:p>
      <w:r>
        <w:t>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ou la réparation du tort moral lorsque le prévenu a provoqué illicitement et fautivement l'ouverture de la procédure ou a rendu plus difficile la conduite de celle-ci. L'indemnité au sens de l’art. 429 al. 1 let. a CPP correspond en particulier aux dépenses assumées par le prévenu libéré pour un avocat de choix (ATF 139 IV 241 consid. 1). L'allocation d'une telle indemnité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TF 6B_384/2014 du 6 février 2015).</w:t>
      </w:r>
    </w:p>
    <w:p>
      <w:r>
        <w:rPr>
          <w:b/>
        </w:rPr>
        <w:t>E. 2.3</w:t>
      </w:r>
    </w:p>
    <w:p>
      <w:r>
        <w:t>En l'espèce, bien que le comportement initialement reproché à Z.________ ne saurait être qualifié comme étant de peu de gravité, même si la peine prévisible pour de tels actes se serait limitée à une sanction légère au vu du contexte des faits, il s’agissait surtout d’une affaire simple de menaces, sans difficulté particulière tant en fait qu’en droit. Il suffisait au prévenu de contester cette accusation, ce qu’il a fait lors d’une unique audition. Après l’audition subséquente de deux témoins, le Procureur a circonscrit les diverses infractions reprochées au recourant sans autre difficulté. La durée de la procédure a été relativement courte et ne comporte que peu d’actes d’instruction. Le recourant n’allègue pas que cette procédure ait eu un impact particulier sur sa vie privée ou professionnelle. Dans ces circonstances, force est de constater que le recours aux services d'un avocat n'était pas nécessaire. On relèvera en outre qu’Z.________ ne bénéficie que d’un classement partiel, puisqu’il a été condamné pour trois autres chefs d’accusation dans une ordonnance pénale distincte, et pour laquelle l’assistance d’un avocat pouvait se révéler utile.</w:t>
      </w:r>
    </w:p>
    <w:p>
      <w:r>
        <w:rPr>
          <w:b/>
        </w:rPr>
        <w:t>E. 3</w:t>
      </w:r>
    </w:p>
    <w:p>
      <w:r>
        <w:t>En définitive, le recours, manifestement mal fondé, doit être rejeté, sans autre échange d’écritures (art. 390 al. 2 CPP). Les frais de la procédure de recours, par 540 fr. (art. 20 al. 1 TFIP [Tarif des frais de procédure et indemnités en matière pénale du 28 septembre 2010; RSV 312.03.1]), seront mis à la charge du recourant, qui succombe (art. 428 al. 1 CPP). Par ces motifs, le juge unique prononce : I. Le recours est rejeté. II. L'ordonnance de classement du 5 novembre 2015 est confirmée. III. Les frais d'arrêt, par 540 fr. (cinq cent quarante francs), sont mis à la charge d’Z.________. VI. Le présent arrêt est exécutoire. Le juge unique :               La greffière : Du Le présent arrêt, dont la rédaction a été approuvée à huis clos, est notifié, par l'envoi d'une copie complète, à : - Me Aba Neeman, avocat (pour Z.________), - Mme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