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239 vom 11. April 2016</w:t>
      </w:r>
    </w:p>
    <w:p>
      <w:r>
        <w:t>VD Tribunal cantonal, 2016-04-11, FR</w:t>
      </w:r>
    </w:p>
    <w:p>
      <w:r>
        <w:rPr>
          <w:b/>
        </w:rPr>
        <w:t xml:space="preserve">Quelle: </w:t>
      </w:r>
      <w:r>
        <w:t>https://mcp.opencaselaw.ch/entscheid/vd_findinfo_D_cision___2016___239</w:t>
      </w:r>
    </w:p>
    <w:p>
      <w:r>
        <w:t>FR: VD_FINDINFO Décision / 2016 / 239 du 11 avril 2016</w:t>
      </w:r>
    </w:p>
    <w:p>
      <w:r>
        <w:t>IT: VD_FINDINFO Décision / 2016 / 239 del 11 aprile 2016</w:t>
      </w:r>
    </w:p>
    <w:p>
      <w:pPr>
        <w:pStyle w:val="Heading2"/>
      </w:pPr>
      <w:r>
        <w:t>Regeste</w:t>
      </w:r>
    </w:p>
    <w:p>
      <w:r>
        <w:t>MESURE DISCIPLINAIRE, DROIT CANTONAL, DÉTENU | 91 al. 3 CP, 38 al. 1 LEP, 38 al. 2 LEP, 38 LEP, 95 al. 1 LTF, 97 al. 1 LTF</w:t>
      </w:r>
    </w:p>
    <w:p>
      <w:pPr>
        <w:pStyle w:val="Heading2"/>
      </w:pPr>
      <w:r>
        <w:t>Erwägungen</w:t>
      </w:r>
    </w:p>
    <w:p>
      <w:r>
        <w:rPr>
          <w:b/>
        </w:rPr>
        <w:t>E. 1.1</w:t>
      </w:r>
    </w:p>
    <w:p>
      <w:r>
        <w:t>Aux termes de l’art. 38 al. 1 LEP, les décisions rendues sur recours par le Service pénitentiaire peuvent faire l'objet d'un recours au Tribunal cantonal. La procédure est régie par les dispositions du CPP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RSV 312.01]; art. 80 LOJV [Loi vaudoise d’organisation judiciaire du 12 décembre 1979; RSV 173.01]; art. 26 al. 1 ROTC [Règlement organique du Tribunal cantonal du 13 novembre 2007; RSV 173.31.1]).</w:t>
      </w:r>
    </w:p>
    <w:p>
      <w:r>
        <w:rPr>
          <w:b/>
        </w:rPr>
        <w:t>E. 1.2</w:t>
      </w:r>
    </w:p>
    <w:p>
      <w:r>
        <w:t>En l’espèce, la décision entreprise a été reçue pas sa destinataire le 29 février 2016 (P. 5/1/2). L’acte de recours est daté du 9 mars 2016, même si le cachet de la poste porte la date du 12 mars suivant. Dès lors que l’on ignore la durée du cheminement du courrier à l’intérieur de la prison, il y a lieu de considérer que le recours a été interjeté dans le délai légal. Déposé de surcroît par une partie ayant qualité pour recourir (cf. art. 382 al. 1 CPP), le recours est recevable.</w:t>
      </w:r>
    </w:p>
    <w:p>
      <w:r>
        <w:rPr>
          <w:b/>
        </w:rPr>
        <w:t>E. 2</w:t>
      </w:r>
    </w:p>
    <w:p>
      <w:r>
        <w:t>e éd., Berne 2014, n. 21 ad art. 95 LTF et la jurisprudence citée).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(FF 2001, p. 4135), cette notion recouvrant aussi bien l’arbitraire dans l’appréciation des preuves que l’arbitraire dans l’établissement des faits (ATF 137 I 58 consid. 4.1.2; Corboz, op. cit., n. 27 ad art. 97 LTF).</w:t>
      </w:r>
    </w:p>
    <w:p>
      <w:r>
        <w:rPr>
          <w:b/>
        </w:rPr>
        <w:t>E. 2.1</w:t>
      </w:r>
    </w:p>
    <w:p>
      <w:r>
        <w:t>Aux termes de l’art. 91 al. 3 CP (Code pénal suisse du 21 décembre 1937; RS 311.0),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le siège de la matière se trouve dans le Règlement du 26 septembre 2007 sur le droit disciplinaire applicable aux détenus avant jugement et aux condamnés (RDD; RSV 340.07.1), ainsi que dans le Règlement du 24 janvier 2007 sur le statut des condamnés exécutant une peine privative de liberté et les régimes de détention applicables (RSC; RSV 340.01.1). En l’occurrence, la sanction infligée a été prononcée sur la base des art. 17 RSC, ainsi que 35 et 40 RDD. A teneur de l’art. 17 al. 3 RSC, il est interdit aux condamnés de consommer de l'alcool, des produits stupéfiants ainsi que des médicaments non prescrits médicalement. Selon l’art. 35 RDD, le détenu qui aura détenu des substances ou des objets dangereux, illicites ou prohibés, ou se sera livré à un trafic ou des tractations portant sur de tels substances ou objets avec des codétenus ou des personnes extérieures à l’établissement sera sanctionné de l’avertissement, ou de l’amende jusqu’à 30 jours, ou de la suppression temporaire, complète ou partielle, de la possibilité de disposer de ressources financières jusqu’à 30 jours, ou de la suppression temporaire, complète ou partielle, des activités de loisirs jusqu’à 60 jours, ou de la suppression temporaire, complète ou partielle, des relations avec le monde extérieur jusqu’à 60 jours, ou des arrêts jusqu’à 20 jours. L’art. 40 RDD prévoit que le détenu qui aura de toute autre manière contrevenu au règlement ou aux directives qui lui sont applicables sera sanctionné de l’avertissement, de l’amende jusqu’à 10 jours, de la suppression temporaire, complète ou partielle, de la possibilité de disposer de ressources financières jusqu’à 10 jours, ou de la suppression temporaire, complète ou partielle, des activités de loisirs jusqu’à 90 jours, ou de la suppression temporaire, complète ou partielle, des relations avec le monde extérieur jusqu’à 90 jours, ou des arrêts jusqu’à 10 jours.</w:t>
      </w:r>
    </w:p>
    <w:p>
      <w:r>
        <w:rPr>
          <w:b/>
        </w:rPr>
        <w:t>E. 2.2</w:t>
      </w:r>
    </w:p>
    <w:p>
      <w:r>
        <w:t>L’art. 38 al. 3 LEP prévoit qu’en matière de sanctions disciplinaires, les motifs de recours sont limités à ceux fixés aux art. 95 et 97 LTF (Loi fédérale du 17 juin 2005 sur le Tribunal fédéral;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 notion de droit fédéral s’oppose en principe à celle de droit cantonal ou communal. Il est toutefois possible de se plaindre devant le Tribunal fédéral d’une violation arbitraire du droit cantonal ou du droit communal à la condition de présenter une motivation répondant aux exigences de l’art. 106 al. 2 LTF, lequel dispose que le Tribunal fédéral n’examine la violation de droits fondamentaux ainsi que celle de dispositions de droit cantonal et intercantonal que si ce grief a été invoqué et motivé par le recourant (ATF 138 I 1 consid. 2.1; Corboz, in Corboz et al. [éd.], Commentaire de la LTF,</w:t>
      </w:r>
    </w:p>
    <w:p>
      <w:r>
        <w:rPr>
          <w:b/>
        </w:rPr>
        <w:t>E. 2.3</w:t>
      </w:r>
    </w:p>
    <w:p>
      <w:r>
        <w:t>En l’espèce, la recourante nie les faits incriminés. Certes, le Service pénitentiaire se limite à tenir pour « hautement vraisemblable » que l’intéressée a fait fermenter du jus de fruits. La recourantle n'expose cependant pas en quoi l'appréciation des preuves de l’autorité intimée serait manifestement insoutenable. Son argumentation ne répond par conséquent pas aux exigences des art. 97 al. 1 et 106 al. 2 LTF. On relèvera par ailleurs, s’agissant de l’établissement des faits, que la recourante a manifestement continué, malgré la sanction disciplinaire qui lui avait été infligée le 21 juillet 2015, à adopter le même comportement, puisqu’elle a admis lors de son audition du 13 octobre 2015 avoir conservé du jus de fruits périmé dans sa cellule. De même, on ne distingue aucune application arbitraire du droit cantonal, s’agissant des art. 17 al. 3 RSC et 35 RDD en particulier. En effet, l’interdiction de consommer de l’alcool, respectivement de détenir un produit dangereux, ne souffre aucune exception selon les art. 17 al.</w:t>
      </w:r>
    </w:p>
    <w:p>
      <w:r>
        <w:rPr>
          <w:b/>
        </w:rPr>
        <w:t>E. 3</w:t>
      </w:r>
    </w:p>
    <w:p>
      <w:r>
        <w:t>En définitive, le recours doit être rejeté et la décision du Service pénitentiaire du 24 février 2016 confirmée.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cf. CREP 19 novembre 2015/749 consid. 3). Par ces motifs, la Chambre des recours pénale prononce : I. Le recours est rejeté. II. La décision du 24 février 2016 est confirmée. III. Les frais d’arrêt, par 660 fr. (six cent soixante francs), sont mis à la charge de Z.________. IV. Le présent arrêt est exécutoire. Le président :               Le greffier : Du Le présent arrêt, dont la rédaction a été approuvée à huis clos, est notifié, par l'envoi d'une copie complète, à : - Mme Z.________, - Ministère public central, et communiqué à : - Mme la Cheffe du Service pénitentiaire (SPEN/138342/SBA/dde), - Direction de la prison de la Tuillière,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