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237 vom 24. März 2016</w:t>
      </w:r>
    </w:p>
    <w:p>
      <w:r>
        <w:t>VD Tribunal cantonal, 2016-03-24, FR</w:t>
      </w:r>
    </w:p>
    <w:p>
      <w:r>
        <w:rPr>
          <w:b/>
        </w:rPr>
        <w:t xml:space="preserve">Quelle: </w:t>
      </w:r>
      <w:r>
        <w:t>https://mcp.opencaselaw.ch/entscheid/vd_findinfo_D_cision___2016___237</w:t>
      </w:r>
    </w:p>
    <w:p>
      <w:r>
        <w:t>FR: VD_FINDINFO Décision / 2016 / 237 du 24 mars 2016</w:t>
      </w:r>
    </w:p>
    <w:p>
      <w:r>
        <w:t>IT: VD_FINDINFO Décision / 2016 / 237 del 24 marzo 2016</w:t>
      </w:r>
    </w:p>
    <w:p>
      <w:pPr>
        <w:pStyle w:val="Heading2"/>
      </w:pPr>
      <w:r>
        <w:t>Regeste</w:t>
      </w:r>
    </w:p>
    <w:p>
      <w:r>
        <w:t>CONTRAINTE{DROIT PÉNAL}, COMMANDEMENT DE PAYER | 181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la partie plaignante, qui a la qualité pour recourir (cf. art. 382 al. 1 CPP), le recours est recevable.</w:t>
      </w:r>
    </w:p>
    <w:p>
      <w:r>
        <w:rPr>
          <w:b/>
        </w:rPr>
        <w:t>E. 2.1</w:t>
      </w:r>
    </w:p>
    <w:p>
      <w:r>
        <w:t>Le recourant soutient en substance que le fait de notifier un commandement de payer à une personne lorsqu’on n’est pas fondé à lui réclamer une créance est illicite et cite à cet égard plusieurs arrêts du Tribunal fédéral et de la Cour d’appel pénale du Tribunal cantonal (TF 6B_281/2013 du 16 juillet 2013 ; CAPE du 19 février 2015/44 ; CAPE du 17 novembre 2015/370). Il invoque que dans le cas d’espèce, les seules motivations de G.________ seraient une rancune et une colère éprouvées à son encontre dès lors qu’aucun acte juridique les liant pourrait justifier l’envoi d’un commandement de payer.</w:t>
      </w:r>
    </w:p>
    <w:p>
      <w:r>
        <w:rPr>
          <w:b/>
        </w:rPr>
        <w:t>E. 2.2</w:t>
      </w:r>
    </w:p>
    <w:p>
      <w:r>
        <w:t>Aux termes de l'art. 310 al. 1 let. a CPP, une ordonnance de non-entrée en matière est rendue immédiatement – c’est-à-dire sans qu’une instruction soit ouverte (art. 309 al. 1 et 4 CPP; TF 1B_111/2012 du 5 avril 2012 consid.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w:t>
      </w:r>
    </w:p>
    <w:p>
      <w:r>
        <w:rPr>
          <w:b/>
        </w:rPr>
        <w:t>E. 2.3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la; ATF 120 IV 17 consid. 2a/aa). Sur le plan subjectif, il faut que l'auteur ait agi avec conscience et volonté, soit au moins qu'il ait accepté l'éventualité que le procédé illicite employé entrave le destinataire dans sa liberté de décision (ATF 120 IV 17 consid. 2c; TF 6B_38/2011 consid. 2.2.1 du 26 avril 2011). Selon la jurisprudence du Tribunal fédéral,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(pour le tout: TF 6S.853/2000 du 9 mai 2001 consid. 4c; cf. également TF 66_281/2013 du 16 juillet 2013 consid. 1.1.2). Le fait de faire notifier un commandement de payer à une personne lorsqu'on n'est pas fondé à lui réclamer une somme d'argent est sans conteste illicite (TF 66_281/2013 du 16 juillet 2013 consid. 1.2). L'entrave à la liberté que constitue le procédé utilisé est loin d'être légère ; une telle procédure est une source de tourments et de poids psychologique, qui sont de nature à inciter le destinataire à céder à la pression dont il fait l'objet ; en outre, elle est de nature à porter atteinte au crédit professionnel du destinataire (TF 66_281/2013 du 16 juillet 2013 consid. 1.2).</w:t>
      </w:r>
    </w:p>
    <w:p>
      <w:r>
        <w:rPr>
          <w:b/>
        </w:rPr>
        <w:t>E. 2.4</w:t>
      </w:r>
    </w:p>
    <w:p>
      <w:r>
        <w:t>En l'espèce, le recourant rend plausible que le commandement de payer de 5'000 fr. qui lui a été notifié ne repose sur aucun fondement. De plus, une telle somme n’est pas anodine – surtout pour un curé dont les revenus sont notoirement limités – et la notification d’un tel commandement de payer est de nature à inciter son destinataire à céder à la pression subie afin d’éviter les inconvénients personnels et professionnels découlant d’une procédure de poursuite. Enfin, un tel procédé pourrait à l’avenir dissuader le curé d’agir correctement dans sa profession, notamment de déposer plainte pénale si des faits semblables venaient à se reproduire, par peur d’être à nouveau l’objet d’une poursuite. De ce fait, une tentative de contrainte ne peut à ce stade être exclue et c’est à tort que le Procureur n’est pas entré en matière dans cette affaire. Il lui appartiendra donc d’ouvrir une instruction afin d’élucider notamment les motivations de G.________. 3. Au vu de ce qui précède, le recours doit être admis, l’ordonnance de non-entrée en matière du 11 février 2016 annulée et le dossier de la cause renvoyé au Ministère public de l’arrondissement de La Côte pour qu’il procède dans le sens des considérants. L.________ obtenant gain de cause, les frais de la procédure de recours, constitués en l'espèce du seul émolument d’arrêt, par 660 fr. (art. 20 al. 1 TFIP [Tarif des frais de procédure et indemnités en matière pénale du 28 septembre 2010, RSV 312.03.1]), seront laissés à la charge de l'Etat (art. 423 al. 1 CPP). S’agissant des dépens réclamés par le recourant, il appartiendra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11 février 2016 est annulée et le dossier de la cause renvoyé au Ministère public pour qu’il procède dans le sens des considérants. III. Les frais d’arrêt, par 660 fr. (six cent soixante francs), sont laissés à la charge de l’Etat. IV. L’arrêt est exécutoire. Le président :               La greffière : Du Le présent arrêt, dont la rédaction a été approuvée à huis clos, est notifié, par l'envoi d'une copie complète, à : - Me Christophe Wilhelm, avocat (pour L.________),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avril 2012 consid. 2.1; TF 1B_67/2012 du 29 mai 2012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