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235 vom 8. April 2016</w:t>
      </w:r>
    </w:p>
    <w:p>
      <w:r>
        <w:t>VD Tribunal cantonal, 2016-04-08, FR</w:t>
      </w:r>
    </w:p>
    <w:p>
      <w:r>
        <w:rPr>
          <w:b/>
        </w:rPr>
        <w:t xml:space="preserve">Quelle: </w:t>
      </w:r>
      <w:r>
        <w:t>https://mcp.opencaselaw.ch/entscheid/vd_findinfo_D_cision___2016___235</w:t>
      </w:r>
    </w:p>
    <w:p>
      <w:r>
        <w:t>FR: VD_FINDINFO Décision / 2016 / 235 du 8 avril 2016</w:t>
      </w:r>
    </w:p>
    <w:p>
      <w:r>
        <w:t>IT: VD_FINDINFO Décision / 2016 / 235 del 8 aprile 2016</w:t>
      </w:r>
    </w:p>
    <w:p>
      <w:pPr>
        <w:pStyle w:val="Heading2"/>
      </w:pPr>
      <w:r>
        <w:t>Regeste</w:t>
      </w:r>
    </w:p>
    <w:p>
      <w:r>
        <w:t>AVOCAT D'OFFICE | 132 al. 2 CPP (CH), 132 al. 3 CPP (CH)</w:t>
      </w:r>
    </w:p>
    <w:p>
      <w:pPr>
        <w:pStyle w:val="Heading2"/>
      </w:pPr>
      <w:r>
        <w:t>Erwägungen</w:t>
      </w:r>
    </w:p>
    <w:p>
      <w:r>
        <w:rPr>
          <w:b/>
        </w:rPr>
        <w:t>E. 1</w:t>
      </w:r>
    </w:p>
    <w:p>
      <w:r>
        <w:t>Interjeté dans le délai légal (art. 396 al. 1 CPP [Code de procédure pénale suisse du 5 octobre 2007 ; RS 312.0]) contre une ordonnance du ministère public refusant la désignation d'un défenseur d'office (art. 393 al. 1 let. a CPP ; Moreillon/Parein-Reymond, Petit commentaire du Code de procédure pénale, Bâle 2013, n. 18 ad art. 132 CPP ; CREP 24 mars 2016/214 ; CREP 10 février 2016/97 ; CREP 29 juillet 2015/506), par le prévenu qui a qualité pour recourir (art. 382 al. 1 CPP), et dans les formes prescrites (art. 385 al. 1 CPP), le recours est recevable.</w:t>
      </w:r>
    </w:p>
    <w:p>
      <w:r>
        <w:rPr>
          <w:b/>
        </w:rPr>
        <w:t>E. 2.1</w:t>
      </w:r>
    </w:p>
    <w:p>
      <w:r>
        <w:t>En dehors des cas de défense obligatoire (art. 130 CPP), l'art. 132 al. 1 let. b CPP soumet le droit à l'assistance d'un défenseur d'office aux conditions que le prévenu soit indigent et que la sauvegarde de ses intérêts justifie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Ces conditions doivent être réalisées cumulativement (cf. Moreillon/Parein-Reymond, Petit Commentaire du Code de procédure pénale, Bâle 2013, n. 23 ad art. 132 CPP, p. 377 ; TF 1B_359/2010 du 23 décembre 2010 consid. 3.2). L'art. 132 al. 3 CPP précise que ne sont pas de peu de gravité les cas dans lesquels le prévenu est passible d'une peine privative de liberté de plus de quatre mois, d'une peine pécuniaire de plus de 120 jours-amende ou d'un travail d'intérêt général de plus de 480 heures.</w:t>
      </w:r>
    </w:p>
    <w:p>
      <w:r>
        <w:rPr>
          <w:b/>
        </w:rPr>
        <w:t>E. 2.2</w:t>
      </w:r>
    </w:p>
    <w:p>
      <w:r>
        <w:t>En l’espèce, le cas est à la limite du cas de peu de gravité au sens de l’art. 132 al. 3 CPP, puisque la peine privative de liberté de 120 jours infligée au recourant par ordonnance pénale du 16 octobre 2015 atteint presque, mais sans les dépasser, quatre mois. Cela étant, ainsi que le relève à raison le Procureur, la cause n’est compliquée ni en fait – le recourant a d’ailleurs admis l’intégralité des faits qui lui sont reprochés (PV aud. 1) – ni en droit, de sorte qu’elle ne présente pas de difficultés que le recourant, qui est manifestement à même de défendre ses intérêts seul, ne pourrait pas surmonter sans l’assistance d’un avocat. Il résulte de ce qui précède que c’est à bon droit que le Ministère public a refusé de désigner un défenseur d’office au recourant.</w:t>
      </w:r>
    </w:p>
    <w:p>
      <w:r>
        <w:rPr>
          <w:b/>
        </w:rPr>
        <w:t>E. 3</w:t>
      </w:r>
    </w:p>
    <w:p>
      <w:r>
        <w:t>En définitive, le recours, manifestement mal fondé, doit être rejeté sans autres échanges d’écritures (art. 390 al. 2 CPP), et l’ordonnance du 23 mars 2016 confirmée.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23 mars 2016 est confirmée. III. Les frais d’arrêt, par 440 fr. (quatre cent quarante francs), sont mis à la charge de K.________. IV. Le présent arrêt est exécutoire. Le vice-président : Le greffier : Du Le présent arrêt, dont la rédaction a été approuvée à huis clos, est notifié, par l'envoi d'une copie complète, à : - M. K.________, - Ministère public central, et communiqué à : - M. le Procureur de l’arrondissement de Lausanne, - M. le Président du Tribunal d’arrondissement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