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 vom 8. Januar 2016</w:t>
      </w:r>
    </w:p>
    <w:p>
      <w:r>
        <w:t>VD Tribunal cantonal, 2016-01-08, FR</w:t>
      </w:r>
    </w:p>
    <w:p>
      <w:r>
        <w:rPr>
          <w:b/>
        </w:rPr>
        <w:t xml:space="preserve">Quelle: </w:t>
      </w:r>
      <w:r>
        <w:t>https://mcp.opencaselaw.ch/entscheid/vd_findinfo_D_cision___2016___23</w:t>
      </w:r>
    </w:p>
    <w:p>
      <w:r>
        <w:t>FR: VD_FINDINFO Décision / 2016 / 23 du 8 janvier 2016</w:t>
      </w:r>
    </w:p>
    <w:p>
      <w:r>
        <w:t>IT: VD_FINDINFO Décision / 2016 / 23 del 8 gennaio 2016</w:t>
      </w:r>
    </w:p>
    <w:p>
      <w:pPr>
        <w:pStyle w:val="Heading2"/>
      </w:pPr>
      <w:r>
        <w:t>Regeste</w:t>
      </w:r>
    </w:p>
    <w:p>
      <w:r>
        <w:t>LIBÉRATION CONDITIONNELLE, PRONOSTIC, RISQUE DE RÉCIDIVE, ADMISSION DE LA DEMANDE | 86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une partie ayant qualité pour recourir (art. 382 al. 1 CPP). Conforme aux exigences de motivation prévues par l’art. 385 al. 1 CPP, il est ainsi recevable.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rPr>
          <w:b/>
        </w:rPr>
        <w:t>E. 2.2</w:t>
      </w:r>
    </w:p>
    <w:p>
      <w:r>
        <w:t>Il y a également lieu de rechercher si la libération conditionnelle, éventuellement assortie d’une assistance de probation et de règles de conduite, ne favoriserait pas mieux la resocialisation de l’auteur que l’exécution complète de sa peine (ATF 124 IV 193 consid. 4d/aa et bb, JdT 2000 IV 162; TF 6B_825/2011 du 8 mai 2012 consid. 1.1 ; TF 6B_915/2013 du 18 novembre 2013 consid. 4.1).</w:t>
      </w:r>
    </w:p>
    <w:p>
      <w:r>
        <w:rPr>
          <w:b/>
        </w:rPr>
        <w:t>E. 2.3</w:t>
      </w:r>
    </w:p>
    <w:p>
      <w:r>
        <w:t>Dans le cas d’espèce, G.________ a atteint les deux tiers de sa peine le 21 décembre 2014, la date de sa libération définitive étant fixée au 21 décembre 2016. La première des trois conditions cumulative de l’art. 86 CP est donc réalisée. Il en va de même de la deuxième condition, puisqu’il ressort du dossier que le comportement de l’intéressé en détention est globalement satisfaisant. S’agissant de la troisième condition, il résulte du dossier que le risque de récidive est élevé (cf. notamment PES de mai 2013 ; rapports des EPO des 25 novembre 2013 et 20 août 2014 [résumés en p. 7, 8 et 9 de l’ordonnance attaquée] ; P. 23, p. 24 ; P. 28). Sur la base de ces éléments, les premiers juges ont constaté, en substance, que si, à première vue, le pronostic quant à la conduite future de l’intéressé ne pouvait être « que des plus réservé », la situation de G.________ ne s’en trouverait pas différente à la date de sa libération définitive. Dans ces conditions, le Collège des juges d’application des peines a considéré qu’il était préférable de choisir la libération conditionnelle plutôt qu’un refus qui ne résout rien et qui revient à repousser le problème à plus tard. Il a en outre exposé que les perspectives et les projets du condamné s’avéraient suffisants pour poser un pronostic favorable, notamment s’il retournait au Portugal pour s’occuper de sa maman malade. Le Ministère public soutient qu’un tel raisonnement reviendrait à avantager le candidat à la libération conditionnelle qui ne présenterait aucune chance d’évolution jusqu’à sa libération définitive, par rapport au condamné dont les perspectives d’évolution seraient plus optimistes, le premier pouvant accéder à la libération conditionnelle au détriment du second dont on exigerait la démonstration d’une évolution favorable. Il est vrai que la jurisprudence citée ci-dessus et discutée par les autorités va dans le sens d’une libération (cf. consid. 2.2 supra). Toutefois, comme le relève à juste titre le Ministère public, la situation de l’intéressé est loin d’être rassurante et les éléments évoqués par le Juge d’application des peines pour pondérer le tableau pessimiste qui est dépeint (ordonnance attaquée, p. 16 let. r), ne sont pas de nature à renverser le pronostic défavorable qui se dégage de l’ensemble du dossier. La prise de conscience de G.________ est faible et il persiste à contester une partie des actes qui lui sont reprochés. Les résultats du traitement entrepris sont mitigés. Le risque de récidive est globalement peu élevé, mais il est bien réel en cas de liens affectifs étroits avec des enfants. De plus, l’élargissement de peine n’a pu être testé en raison d’un risque de fuite en lien avec son statut d’étranger expulsé ayant déjà fui par le passé (cf. ordonnance attaquée, p. 16 let. r §1 in fine ). A cela s’ajoute le fait que le renvoi au Portugal rendrait illusoire la menace de la révocation de la libération conditionnelle et les injonctions d’un suivi. Il est nécessaire d’imposer une meilleure prise de conscience et un aménagement de sorties à tout le moins avant la libération pure et simple de G.________.</w:t>
      </w:r>
    </w:p>
    <w:p>
      <w:r>
        <w:rPr>
          <w:b/>
        </w:rPr>
        <w:t>E. 2.4</w:t>
      </w:r>
    </w:p>
    <w:p>
      <w:r>
        <w:t>Par conséquent, le recours du Ministère public central doit être admis et l’ordonnance attaquée réformée dans le sens exposé ci-dessus. Les frais de la procédure de recours, constitués en l'espèce de l'émolument d'arrêt, par 2’200 fr. (art. 20 al. 1 TFIP [Tarif des frais de procédure et indemnités en matière pénale du 28 septembre 2010; RSV 312.03.1]), et des frais imputable à la défense d’office (art. 422 al. 2 let. a CPP), fixés à 777 fr. 60, TVA comprise, seront mis à la charge de G.________,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admis. II. L’ordonnance du 22 décembre 2015 est annulée et il est statué à nouveau comme il suit : I. La libération conditionnelle est refusée à G.________. II. Les frais sont laissés à la charge de l’Etat. III. L’indemnité allouée au défenseur d'office de G.________ est fixée à 777 fr. 60 (sept cent septante-sept francs et soixante centimes francs). IV. Les frais d’arrêt, par 2’200 fr. (deux mille deux cents francs), ainsi que l’indemnité due au défenseur d’office du condamné, par 777 fr. 60 (sept cent septante-sept francs et soixante centimes), sont mis à la charge de G.________. V. Le remboursement à l'Etat de l'indemnité allouée au chiffre III ci-dessus sera exigible pour autant que la situation de G.________ se soit améliorée. VI. Le présent arrêt est exécutoire. Le juge présidant : La greffière : Du Le présent arrêt, dont la rédaction a été approuvée à huis clos, est notifié, par l'envoi d'une copie complète, à : - Me Yann Jaillet, avocat (pour G.________), - Ministère public central, et communiqué à : ‑ Mme la Procureure du Ministère public central, division affaires spéciales, contrôle et mineurs, - Collège des juges d’application des peines, - Office d’exécution des peines ([…]), - Etablissements pénitentiaires de la plaine de l’Orbe, - SPOP, secteur départ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