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227 vom 16. März 2016</w:t>
      </w:r>
    </w:p>
    <w:p>
      <w:r>
        <w:t>VD Tribunal cantonal, 2016-03-16, FR</w:t>
      </w:r>
    </w:p>
    <w:p>
      <w:r>
        <w:rPr>
          <w:b/>
        </w:rPr>
        <w:t xml:space="preserve">Quelle: </w:t>
      </w:r>
      <w:r>
        <w:t>https://mcp.opencaselaw.ch/entscheid/vd_findinfo_D_cision___2016___227</w:t>
      </w:r>
    </w:p>
    <w:p>
      <w:r>
        <w:t>FR: VD_FINDINFO Décision / 2016 / 227 du 16 mars 2016</w:t>
      </w:r>
    </w:p>
    <w:p>
      <w:r>
        <w:t>IT: VD_FINDINFO Décision / 2016 / 227 del 16 marzo 2016</w:t>
      </w:r>
    </w:p>
    <w:p>
      <w:pPr>
        <w:pStyle w:val="Heading2"/>
      </w:pPr>
      <w:r>
        <w:t>Regeste</w:t>
      </w:r>
    </w:p>
    <w:p>
      <w:r>
        <w:t>SOUSTRACTION D'UNE CHOSE MOBILIÈRE, DOMMAGES À LA PROPRIÉTÉ{DROIT PÉNAL}, VIOLATION DE DOMICILE, CLASSEMENT DE LA PROCÉDURE | 141 CP, 144 CP, 186 CP,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Ce recours s’exerce auprès de l’autorité de recours (cf. art. 20 al. 1 let. b CPP), qui dans le canton de Vaud est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devant l’autorité de recours (art. 322 al. 2 et 396 al. 1 CPP). En l’espèce, interjeté en temps utile devant l’autorité compétente, par la partie plaignante qui a qualité pour recourir (art. 382 al. 1 CPP), et satisfaisant aux conditions de forme prescrites (art. 385 al. 1 CPP), le recours formé par R.________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(ATF 138 IV 86 consid. 4.1.1 ; ATF 138 IV 186 consid. 4.1).</w:t>
      </w:r>
    </w:p>
    <w:p>
      <w:r>
        <w:rPr>
          <w:b/>
        </w:rPr>
        <w:t>E. 3.1</w:t>
      </w:r>
    </w:p>
    <w:p>
      <w:r>
        <w:t>Dans un premier moyen, le recourant soutient qu’il n’aurait pas été averti de la prise d’inventaire mais aurait uniquement reçu un message SMS de P.________ quelques jours avant les faits, l’avisant qu’il devait être à son magasin le 1 er juillet 2013 à 7h30 afin de trouver un arrangement. Il ajoute que lorsqu’il est arrivé sur les lieux, l’infraction de violation de domicile était déjà réalisée, dès lors que les prévenus seraient entrés dans son magasin sans son accord à un moment où celui-ci était fermé au public, puisqu’ils auraient profité de l’arrivée du fournisseur de fruits et légumes pour ce faire.</w:t>
      </w:r>
    </w:p>
    <w:p>
      <w:r>
        <w:rPr>
          <w:b/>
        </w:rPr>
        <w:t>E. 3.2</w:t>
      </w:r>
    </w:p>
    <w:p>
      <w:r>
        <w:t>En vertu de l’art. 186 CP (Code pénal suisse du 21 décembre 1937 ; RS 311.0),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d’une injonction de sortir à lui adressée par un ayant droit sera, sur plainte, puni d’une peine privative de liberté de trois ans au plus ou d’une peine pécuniaire. L’art. 186 CP envisage d’abord le cas dans lequel l’auteur pénètre dans le domicile de l’ayant droit contre sa volonté. Dans cette hypothèse, l’infraction est consommée dès que l’auteur s’introduit, contre la volonté de l’ayant droit, dans le domaine clos (ATF 128 IV 81 consid. 4a). Il suffit qu’il introduise une partie de son corps dans le lieu en question (ATF 87 IV 120 consid. 2 ; Dupuis et al., Petit commentaire du Code pénal, Bâle 2012, nn. 16 et 27 ad art. 186 CP et les références citées). L’infraction de violation de domicile se réalise également lorsque l’auteur demeure dans les lieux au mépris d’une injonction de sortir formulée par l’ayant droit. Dans ce cas, l’infraction est consommée lorsque, malgré l’ordre intimé par l’ayant droit à l’auteur, ce dernier ne quitte pas les lieux après un certain laps de temps (ATF 128 IV 81 consid. 4a ; Dupuis et al., op. cit., n. 17 ad art. 186 CP et les références citées). L’ayant droit doit communiquer à l’auteur sa volonté de façon claire et non équivoque ; elle ne peut être tacite (Dupuis et al., op. cit. n. 30 ad art. 186 CP et la référence citée).</w:t>
      </w:r>
    </w:p>
    <w:p>
      <w:r>
        <w:rPr>
          <w:b/>
        </w:rPr>
        <w:t>E. 3.3</w:t>
      </w:r>
    </w:p>
    <w:p>
      <w:r>
        <w:t>En l’espèce, R.________ n’a pas protesté contre le fait que les prévenus seraient présents dans son magasin le 1 er juillet 2013, alors qu’il savait qu’ils viendraient puisqu’il avait été informé par SMS quelques jours auparavant de leur venue. Il ne leur a en outre pas demandé de quitter les lieux lorsqu’il est arrivé sur place le jour des faits. A l’instar du Ministère public, il y a donc lieu de considérer que le recourant, malgré qu’il n’ait pas donné l’autorisation expresse aux employés de X.________SA de pénétrer dans son commerce, a ratifié leur présence à cet endroit en tolérant tacitement qu’ils y restent, et ce même s’il n’y a pas acquiescé. Par conséquent, on ne peut retenir que les employés de X.________SA auraient pénétré dans le magasin de R.________ de manière illicite et contre la volonté de ce dernier, de sorte que l’infraction de violation de domicile n’est pas réalisée.</w:t>
      </w:r>
    </w:p>
    <w:p>
      <w:r>
        <w:rPr>
          <w:b/>
        </w:rPr>
        <w:t>E. 4.1</w:t>
      </w:r>
    </w:p>
    <w:p>
      <w:r>
        <w:t>Le recourant fait grief au Ministère public d’avoir considéré qu’une simple clause dans le contrat le liant à la société X.________SA autorisait cette dernière à reprendre la marchandise revendable en cas de retard dans les paiements et la légitimait ainsi à faire acte de justice propre au lieu de passer par les tribunaux civils. Par ailleurs, s’agissant du matériel informatique, il conteste la tardiveté de la plainte en soutenant que les employés de X.________SA auraient agi dans un dessein d’appropriation et qu’ils se seraient alors rendus coupables de vol ou d’appropriation illégitime, infractions se poursuivant d’office.</w:t>
      </w:r>
    </w:p>
    <w:p>
      <w:r>
        <w:rPr>
          <w:b/>
        </w:rPr>
        <w:t>E. 4.2</w:t>
      </w:r>
    </w:p>
    <w:p>
      <w:r>
        <w:t>Selon l’art. 141 CP, celui qui, sans dessein d’appropriation, aura soustrait une chose mobilière à l’ayant droit et lui aura causé par là un préjudice considérable sera, sur plainte, puni d’une peine privative de liberté ou d’une peine pécuniaire. La soustraction, qui ne se confond pas avec la notion similaire utilisée par le texte français de l'art. 139 CP, signifie simplement enlever la chose à l'ayant droit (TF 6B_313/2008 du 25 juin 2008 consid. 2.3.1 et les références citées). L'art. 141 CP suppose en outre l'absence de dessein d'appropriation, soit de volonté de l'auteur d'incorporer la chose mobilière à son patrimoine en vue de la conserver ou de l'aliéner (ATF 85 IV 17 consid. 1). La volonté de s'approprier la chose va au-delà de la simple intention de l'enlever à l'ayant droit. En conséquence, l'art. 141 CP ne s'applique pas dans les hypothèses prévues aux art. 137 à 140 CP (TF 6B_313/2008 du 25 juin 2008 consid. 2.3.1 et les références citées). Aux termes de l’art. 13 al. 1 CP, quiconque agit sous l’influence d’une appréciation erronée des faits est jugé d’après cette appréciation si elle lui est favorable.</w:t>
      </w:r>
    </w:p>
    <w:p>
      <w:r>
        <w:rPr>
          <w:b/>
        </w:rPr>
        <w:t>E. 4.3</w:t>
      </w:r>
    </w:p>
    <w:p>
      <w:r>
        <w:t>En l’espèce, un contrat de partenariat liait le recourant et X.________SA au moment des faits. Il ressort en substance de l’art. 15 ch. 3 des conditions générales du contrat conclu entre les parties que si un paiement n’est pas effectué dans le délai fixé, la maison «  [...] » effectue un inventaire chez le partenaire et reprend la marchandise revendable inventoriée (P. 6). Ainsi, sur cette base, la société X.________SA avait le droit d’effectuer un inventaire au magasin du recourant et de reprendre la marchandise revendable, sans passer par un juge civil. De surcroît, les employés de ladite société ont exercé ce droit sans violence et en présence du recourant, lequel ne s’y est pas opposé puisque son comportement s’est limité à refuser de signer une lettre de résiliation qui lui a été présentée. Par ailleurs, les prévenus ont affirmé qu’ils n’avaient rien sorti avant l’arrivée de R.________ et ont laissé sur place certains produits. Ils n’ont par conséquent pas agi sans droit ni dans un dessein d’enrichissement illégitime. L’argumentation du Ministère public ne prête pas le flanc à la critique sur ce point. Pour ce qui concerne le matériel informatique, il convient de relever qu’aux dires du recourant, une entreprise est arrivée pour enlever toute la partie informatique installée dans son magasin par X.________SA et qu’en faisant cela, elle a également arraché tous les systèmes informatiques qui appartenaient au plaignant car elle croyait qu’ils appartenaient à X.________SA (PV aud. 1, lignes 165-167). Dans ces circonstances, il y a eu une erreur sur les faits, laquelle doit profiter aux prévenus et exclut qu’ils aient voulu s’approprier des choses mobilières qui appartiendraient à autrui, dès lors qu’ils croyaient qu’elles appartenaient à leur employeur et non au plaignant. Force est dès lors de constater qu’aucune infraction ne peut en l’espèce leur être reprochée. Le moyen, mal fondé, doit être rejeté.</w:t>
      </w:r>
    </w:p>
    <w:p>
      <w:r>
        <w:rPr>
          <w:b/>
        </w:rPr>
        <w:t>E. 5.1</w:t>
      </w:r>
    </w:p>
    <w:p>
      <w:r>
        <w:t>Dans un dernier moyen, le recourant soutient qu’il était possible de retirer les enseignes «  [...] » sans endommager les enseignes qu’il avait préalablement posées, contrairement à ce qu’aurait fait l’entreprise S.________ mandatée par X.________SA. Il allègue par ailleurs que le Ministère public ne se serait fondé sur aucun élément d’instruction pour considérer que les auteurs n’auraient pas eu l’intention d’endommager lesdites enseignes et ainsi écarter la réalisation de l’infraction de dommages à la propriété.</w:t>
      </w:r>
    </w:p>
    <w:p>
      <w:r>
        <w:rPr>
          <w:b/>
        </w:rPr>
        <w:t>E. 5.2</w:t>
      </w:r>
    </w:p>
    <w:p>
      <w:r>
        <w:t>En vertu de l’art. 144 al. 1 CP, celui qui aura endommagé, détruit ou mis hors d’usage une chose appartenant à autrui ou frappée d’un droit d’usage ou d’usufruit au bénéfice d’autrui sera, sur plainte, puni d’une peine privative de liberté de trois ans au plus ou d’une peine pécuniaire. L'infraction est intentionnelle. Le dol éventuel suffit (Dupuis et al., op. cit., nn. 3, 11 et 16 ad art. 144 CP).</w:t>
      </w:r>
    </w:p>
    <w:p>
      <w:r>
        <w:rPr>
          <w:b/>
        </w:rPr>
        <w:t>E. 5.3</w:t>
      </w:r>
    </w:p>
    <w:p>
      <w:r>
        <w:t>En l’espèce, il ressort des déclarations de P.________ qu’il n’était pas possible d’enlever les enseignes «  [...] » des vitres du magasin du recourant sans arracher celles qui avaient été précédemment posées par ce dernier, et ce en raison notamment du fait que le jour des faits il faisait très froid. Il résulte en outre du dossier qu’aucune des personnes ayant agi pour le compte de X.________SA ce jour-là n’avait l’intention de causer volontairement des dommages au préjudice du recourant. La preuve du contraire, qui incombe à l’autorité d’instruction, ne pourra jamais être apportée dans le cas présent. Au demeurant, le litige sur ce point paraît revêtir un aspect purement civil, dès lors que l’entreprise précitée avait proposé un arrangement lors de l’audience de conciliation dans le sens d’un dédommagement pour le préjudice que R.________ aurait subi. C’est donc à juste titre que le Ministère public a ordonné le classement de l’affaire sur ce point. Mal fondé, ce grief doit également être rejeté.</w:t>
      </w:r>
    </w:p>
    <w:p>
      <w:r>
        <w:rPr>
          <w:b/>
        </w:rPr>
        <w:t>E. 6</w:t>
      </w:r>
    </w:p>
    <w:p>
      <w:r>
        <w:t>Il résulte de ce qui précède que le recours, manifestement mal fondé, doit être rejeté sans autre échange d’écritures (art. 390 al. 2 CPP). Vu l’octroi à R.________ de l’assistance judiciaire comprenant l’exonération des frais de procédure (art. 136 al. 2 let. b CPP) et l’assistance d’un conseil juridique gratuit (art. 136 al. 2 let. c CPP), les frais de la procédure de recours – constitués en l’espèce de l’émolument d’arrêt, par 990 fr. (art. 20 al. 1 TFIP [Tarif des frais de procédure et indemnités en matière pénale ; RSV 312.03.1]), et des frais imputables à l’assistance judiciaire gratuite (art. 422 al. 1 et 2 let. a CPP) fixés à 540 fr., plus la TVA par 43 fr. 20, soit un total de 583 fr. 20 – ne peuvent être mis à la charge du recourant qui succombe (art. 428 al. 1 CPP), mais doivent être provisoirement laissés à la charge de l’Etat (Harari/Corminboeuf, in : Kuhn/Jeanneret [éd.], Code de procédure pénale suisse, Commentaire romand, Bâle 2011, n. 51 ad art. 136 CPP). Le recourant est toutefois tenu de rembourser ces frais à l’Etat dès que sa situation financière le permettra (art. 135 al. 4 CPP et 138 al. 1 CPP ; Harari/Corminboeuf, op. cit., n. 11 ad art. 138 CPP). Par ces motifs, la Chambre des recours pénale prononce : I. Le recours est rejeté. II. L’ordonnance du 11 février 2016 est confirmée. III. L’indemnité allouée au conseil juridique gratuit de R.________ est fixé à 583 fr. 20 (cinq cent huitante-trois francs et vingt centimes). IV. Les frais d’arrêt, par 990 fr. (neuf cent nonante francs), ainsi que l’indemnité due au conseil juridique gratuit de R.________, par 583 fr. 20 (cinq cent huitante-trois francs et vingt centimes), sont provisoirement laissés à la charge de l’Etat. V. R.________ est tenu de rembourser à l’Etat l’indemnité allouée au chiffre III ci-dessus ainsi que les frais fixés au chiffre IV ci-dessus dès que sa situation financière le permettra. VI. Le présent arrêt est exécutoire. Le président :               Le greffier : Du Le présent arrêt, dont la rédaction a été approuvée à huis clos, est notifié, par l'envoi d'une copie complète, à : - Me Ana Rita Perez, avocate (pour R.________), - Me Joachim Lerf, avocat (pour N.________, W.________, P.________, G.________ et V.________),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