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224 vom 4. April 2016</w:t>
      </w:r>
    </w:p>
    <w:p>
      <w:r>
        <w:t>VD Tribunal cantonal, 2016-04-04, FR</w:t>
      </w:r>
    </w:p>
    <w:p>
      <w:r>
        <w:rPr>
          <w:b/>
        </w:rPr>
        <w:t xml:space="preserve">Quelle: </w:t>
      </w:r>
      <w:r>
        <w:t>https://mcp.opencaselaw.ch/entscheid/vd_findinfo_D_cision___2016___224</w:t>
      </w:r>
    </w:p>
    <w:p>
      <w:r>
        <w:t>FR: VD_FINDINFO Décision / 2016 / 224 du 4 avril 2016</w:t>
      </w:r>
    </w:p>
    <w:p>
      <w:r>
        <w:t>IT: VD_FINDINFO Décision / 2016 / 224 del 4 aprile 2016</w:t>
      </w:r>
    </w:p>
    <w:p>
      <w:pPr>
        <w:pStyle w:val="Heading2"/>
      </w:pPr>
      <w:r>
        <w:t>Regeste</w:t>
      </w:r>
    </w:p>
    <w:p>
      <w:r>
        <w:t>DÉTENTION PROVISOIRE, MESURE DE SUBSTITUTION À LA DÉTENTION | 221 al. 1 let. c CPP (CH), 237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w:t>
      </w:r>
    </w:p>
    <w:p>
      <w:r>
        <w:rPr>
          <w:b/>
        </w:rPr>
        <w:t>E. 2.2</w:t>
      </w:r>
    </w:p>
    <w:p>
      <w:r>
        <w:t>Le recourant soutient que le Tribunal des mesures de contrainte a fait fi du rapport déposé le 17 décembre 2015 par le Centre universitaire romand de médecine légale (CURML) et que celui-ci permettrait de relativiser les allégations de la partie plaignante (P. 53). Tout d'abord, il sera relevé qu'il n'appartient pas à l'autorité de détention d'analyser la véracité des allégations des témoins ou certaines pièces produites au dossier avec le même pouvoir d'examen que l'autorité de jugement. A ce stade de la procédure, l'autorité compétente doit se contenter d'examiner s'il existe des soupçons sérieux de culpabilité à l'égard d'un prévenu ou si une condamnation paraît vraisemblable pour ordonner une mise en détention provisoire. En l'espèce, il ressort du dossier de la cause que F.________ a été mis en cause par Q.________ dont les déclarations ont été corroborées par une voisine et une amie ayant assisté à diverses altercations (P. 4, p. 6; PV aud. 4, p. 3, l. 84 ss). En outre, divers rapports médicaux produits au dossier attestent que la plaignante aurait subi des violences (P. 13; P. 15). Enfin, le prévenu a peu ou prou admis les faits. Ainsi, il y a lieu d'admettre qu'il existe des soupçons suffisants de culpabilité à l'encontre du prévenu au sens de l'art. 221 al. 1 CPP.</w:t>
      </w:r>
    </w:p>
    <w:p>
      <w:r>
        <w:rPr>
          <w:b/>
        </w:rPr>
        <w:t>E. 3.1</w:t>
      </w:r>
    </w:p>
    <w:p>
      <w:r>
        <w:t>Le Tribunal des mesures de contrainte a retenu que le prévenu présentait un risque de réitération.</w:t>
      </w:r>
    </w:p>
    <w:p>
      <w:r>
        <w:rPr>
          <w:b/>
        </w:rPr>
        <w:t>E. 3.2</w:t>
      </w:r>
    </w:p>
    <w:p>
      <w:r>
        <w:t>Le maintien en détention ne peut se justifier en raison d’un risque de réitération (art. 221 al. 1 let. c CPP) que si le pronostic est très défavorable et si les délits dont l'autorité redoute la réitération sont graves (ATF 137 IV 84 consid. 4.5, JT 2011 IV 325; ATF 135 I 71 consid. 2.3; ATF 133 I 270 consid. 2.2 et les arrêts cités, JT 2011 IV 3; TF 1B_39/2013 du 14 février 2013 consid.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consid. 2e).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3.3</w:t>
      </w:r>
    </w:p>
    <w:p>
      <w:r>
        <w:t>Les actes reprochés à F.________ ne sont pas de peu gravité dès lors qu'il est notamment soupçonné de s'en être pris physiquement à l'intégrité physique de sa compagne d'une manière particulièrement violente et de l'avoir menacée de mort. Le prévenu a fait l'objet de six condamnations et il est également prévenu dans le cadre deux enquêtes pénales actuellement instruites par le Ministère public notamment pour des voies de fait et des menaces. On rappellera que F.________ a passé 172 jours en détention provisoire, soit du 25 août 2014 au 12 février 2015 dans le cadre d'une autre affaire, ce qui ne l'a pourtant pas empêché d'être à nouveau impliqué dans des faits sérieux peu de temps après sa sortie. En outre, selon l'examen clinique du 9 janvier 2014, le prévenu a été reconnu comme souffrant d'un trouble de la personnalité émotionnellement labile, type impulsif, d'un état post-traumatique chronique et d'une dépendance au cannabis. Ce diagnostic tend à démontrer que le prévenu est en proie à des fragilités psychiques importantes. Au vu de ce qui précède, il y a sérieusement lieu de craindre, qu'une fois remis en liberté, le prévenu s'en prenne à nouveau à l'intégrité physique d'autrui. Partant, le risque de réitération est réalisé (art. 221 al. 1 let. c CPP). Le risque de réitération étant réalisé, il n'est pas nécessaire d'examiner si les risques de fuite et de collusion le sont également, les conditions de l'art. 221 al. 1 CPP étant alternatives.</w:t>
      </w:r>
    </w:p>
    <w:p>
      <w:r>
        <w:rPr>
          <w:b/>
        </w:rPr>
        <w:t>E. 4.1</w:t>
      </w:r>
    </w:p>
    <w:p>
      <w:r>
        <w:t>Le recourant soutient que c'est à tort que le Tribunal des mesures de contrainte a considéré que les mesures de substitution proposées par le Ministère public n'étaient pas à même de pallier le risque de récidive retenu. En outre, il estime – en se référant à une jurisprudence du Tribunal fédéral (TF 1B_419/2015 consid. 3.4 du 21 décembre 2015) – que le Tribunal des mesures de contrainte aurait dû admettre la requête de mesures de substitution du Procureur car ce dernier "apparaît plus à même de connaître les besoins et les risques de la procédure pénale en cours".</w:t>
      </w:r>
    </w:p>
    <w:p>
      <w:r>
        <w:rPr>
          <w:b/>
        </w:rPr>
        <w:t>E. 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liste des mesures de substitution énoncée à l'art. 237 al. 2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4.3</w:t>
      </w:r>
    </w:p>
    <w:p>
      <w:r>
        <w:t>Le Ministère public propose d'interdire à F.________ de se rendre au domicile de Q.________ ainsi que d'entretenir des rapports avec elle ou de s'en approcher. Ces mesures ne sont pas à même de pallier le risque de récidive présenté par le prévenu. Tout d'abord, rien au dossier ne permet d'exclure que les actes hétéroagressifs que le prévenu pourrait commettre soient uniquement dirigés contre Q.________. Ensuite, ces interdictions ne sont pas en mesure d'empêcher d'éventuelles rencontres impromptues ou de garantir que le prévenu ne cherche à voir la jeune femme. Le Procureur propose d'ordonner une obligation de suivi thérapeutique auprès du Dr E.________. Le prévenu est suivi depuis le 9 décembre 2012 par ce praticien, ce qui ne l'a pourtant pas empêché d'être actuellement mis en cause pour des actes particulièrement graves. Il n'apparaît donc pas que cette mesure soit suffisante pour parer à un risque de récidive. Enfin, il en va de même de l'obligation de se soumettre à des contrôles d'abstinence et aux stupéfiants dès lors que F.________ n'avait pas adhéré à une telle démarche dans le cadre de sa libération conditionnelle octroyée le 30 avril 2015. Partant, aucune mesure de substitution n'est à même de parer le risque de réitération présenté par le prévenu et c'est à juste titre que le Tribunal des mesures de contrainte a rejeté la demande tendant à leurs mise en œuvre d et a prolongé la durée la détention provisoire pour une durée d'un mois.</w:t>
      </w:r>
    </w:p>
    <w:p>
      <w:r>
        <w:rPr>
          <w:b/>
        </w:rPr>
        <w:t>E. 5</w:t>
      </w:r>
    </w:p>
    <w:p>
      <w:r>
        <w:t>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Le prévenu est détenu depuis le 22 octobre 2015. Le Procureur a annoncé que l'enquête était terminée et qu'il entendait joindre les deux autres enquêtes en cours contre le prévenu au dossier de la cause afin de renvoyer F.________ devant l'autorité de jugement. Compte tenu des démarches annoncées par le parquet, des antécédents du prévenu et des faits qui lui sont reprochés, la détention provisoire, prolongée d'un mois par le Tribunal des mesures de contrainte, soit au plus tard jusqu'au 22 avril 2016, est parfaitement proportionnée au regard de la peine qui est susceptible d’être prononcée à son encontre en cas de condamnation (art. 212 al. 3 CPP).</w:t>
      </w:r>
    </w:p>
    <w:p>
      <w:r>
        <w:rPr>
          <w:b/>
        </w:rPr>
        <w:t>E. 6</w:t>
      </w:r>
    </w:p>
    <w:p>
      <w:r>
        <w:t>Il résulte de ce qui précède que le recours, manifestement mal fondé, doit être rejeté, sans autre échanges d’écritures (art. 390 al. 2 CPP), et l’ordonnance du 24 mars 2016 confirmée.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mars 2016 est confirmée. III. L’indemnité allouée au défenseur d’office de F.________ est fixée à 583 fr. 20 (cinq cent huitante-trois francs et vingt centimes). IV. Les frais d'arrêt, par 1'100 fr. (mille cent francs), ainsi que l'indemnité due au défenseur d'office de F.________, par 583 fr. 20 (cinq cent huitante-trois francs et vingt centimes), sont mis à la charge de ce dernier. V. Le remboursement à l’Etat de l’indemnité allouée au chiffre III ci-dessus ne sera exigible que pour autant que la situation économique de F.________ se soit améliorée. VI. Le présent arrêt est exécutoire. Le vice-président : La greffière : Du Le présent arrêt, dont la rédaction a été approuvée à huis clos, est notifié, par l'envoi d'une copie complète, à : - Me Tiphanie Chappuis, avocate (pour F.________), - Ministère public central, et communiqué à : - Mme la Présidente du Tribunal des mesures de contrainte, - M. le Procureur de l'arrondissement de l'Est vaudois, - Me Marie-Pomme Moinat, avocate (pour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