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222 vom 7. März 2016</w:t>
      </w:r>
    </w:p>
    <w:p>
      <w:r>
        <w:t>VD Tribunal cantonal, 2016-03-07, FR</w:t>
      </w:r>
    </w:p>
    <w:p>
      <w:r>
        <w:rPr>
          <w:b/>
        </w:rPr>
        <w:t xml:space="preserve">Quelle: </w:t>
      </w:r>
      <w:r>
        <w:t>https://mcp.opencaselaw.ch/entscheid/vd_findinfo_D_cision___2016___222</w:t>
      </w:r>
    </w:p>
    <w:p>
      <w:r>
        <w:t>FR: VD_FINDINFO Décision / 2016 / 222 du 7 mars 2016</w:t>
      </w:r>
    </w:p>
    <w:p>
      <w:r>
        <w:t>IT: VD_FINDINFO Décision / 2016 / 222 del 7 marzo 2016</w:t>
      </w:r>
    </w:p>
    <w:p>
      <w:pPr>
        <w:pStyle w:val="Heading2"/>
      </w:pPr>
      <w:r>
        <w:t>Regeste</w:t>
      </w:r>
    </w:p>
    <w:p>
      <w:r>
        <w:t>DÉCISION D'IRRECEVABILITÉ, LANGUE DE LA PROCÉDURE, MOTIVATION DE LA DEMANDE | 385 al. 2 CPP (CH), 393 al. 1 let. a CPP (CH), 67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levée de séquestre (art. 267 CPP) rendue par le Ministère public dans le cadre de la procédure préliminaire est ainsi susceptible de recours selon les art. 393 ss CPP (Lembo/Julen Berthod, in: Kuhn/Jeanneret (éd.), Commentaire romand, Code de procédure pénale suisse, Bâle 2011, n. 4 ad art. 267 CPP ; CREP 28 août 2014/618 ; CREP 28 novembre 2014/803).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Selon l'art. 385 al. 1 CPP, le mémoire de recours motivé doit préci­sé­ment indiquer les points de la décision qui sont attaqués (let. a), les motifs qui commandent une autre décision (let. b) et les moyens de preuve qui sont invoqués (let. c). L’art. 385 al. 2 CPP précise que si le mémoire ne satisfait pas à ces exigen­ces, l'autorité de recours le renvoie au recourant pour qu’il le complète dans un bref délai ; si après expiration de ce délai supplémentaire, le mémoire ne satisfait toujours pas à ces exigences, l’autorité de recours n'entre pas en matière. La Confédération et les cantons déterminent les langues dans les­quelles leurs autorités pénales conduisent les procédures (art. 67 al. 1 CPP). Les autorités pénales cantonales accomplissent tous les actes de procédure dans ces langues; la direction de la procédure peut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consid. 3, in SJ 2012 I 341 ; CREP 24 avril 2013/288). Dans le canton de Vaud, la langue de la procédure est le français (art. 16 LVCPP [Loi canto­nale du 19 mai 2009 d’introduction du Code de procédure pénale suisse; RSV 312.01]).</w:t>
      </w:r>
    </w:p>
    <w:p>
      <w:r>
        <w:rPr>
          <w:b/>
        </w:rPr>
        <w:t>E. 1.3</w:t>
      </w:r>
    </w:p>
    <w:p>
      <w:r>
        <w:t>En l’espèce, la recourante a déposé un acte intégralement rédigé en anglais. En dépit du délai qui lui a été imparti par le Président de la cour de céans, la recourante n’a pas traduit l’acte déposé le 29 janvier 2016 en langue française ni corrigé celui-ci dans le sens demandé. Cet acte, qui ne satisfait pas aux exigen­ces prévues aux art. 67 et 385 al. 1 CPP, doit être déclaré irrecevable en application de l’art. 385 al. 2 CPP.</w:t>
      </w:r>
    </w:p>
    <w:p>
      <w:r>
        <w:rPr>
          <w:b/>
        </w:rPr>
        <w:t>E. 2</w:t>
      </w:r>
    </w:p>
    <w:p>
      <w:r>
        <w:t>En définitive, le recours interjeté par H.________ doit être déclaré irrecevable, sans autre échange d’écritures (art. 390 al. 2 CPP). Les frais de la procédure de recours, constitués en l'espèce du seul émolument d'arrêt, par 440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d’arrêt, par 440 fr. (quatre cent quarante francs), sont laissés à la charge de l’Etat. III. Le présent arrêt est exécutoire. Le président :               La greffière : Du Le présent arrêt, dont la rédaction a été approuvée à huis clos, est notifié, par l'envoi d'une copie complète, à : - Mme H.________, - M. B.Q.________ (pour A.Q.________), - Ministère public central, et communiqué à : ‑ M. le Procureur de l’arrondissement de l’Est vaudois, - Police cantonale, fourrière,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