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214 vom 3. Mai 2016</w:t>
      </w:r>
    </w:p>
    <w:p>
      <w:r>
        <w:t>VD Tribunal cantonal, 2016-05-03, FR</w:t>
      </w:r>
    </w:p>
    <w:p>
      <w:r>
        <w:rPr>
          <w:b/>
        </w:rPr>
        <w:t xml:space="preserve">Quelle: </w:t>
      </w:r>
      <w:r>
        <w:t>https://mcp.opencaselaw.ch/entscheid/vd_findinfo_D_cision___2016___214</w:t>
      </w:r>
    </w:p>
    <w:p>
      <w:r>
        <w:t>FR: VD_FINDINFO Décision / 2016 / 214 du 3 mai 2016</w:t>
      </w:r>
    </w:p>
    <w:p>
      <w:r>
        <w:t>IT: VD_FINDINFO Décision / 2016 / 214 del 3 maggio 2016</w:t>
      </w:r>
    </w:p>
    <w:p>
      <w:pPr>
        <w:pStyle w:val="Heading2"/>
      </w:pPr>
      <w:r>
        <w:t>Regeste</w:t>
      </w:r>
    </w:p>
    <w:p>
      <w:r>
        <w:t>NON-LIEU, DÉCISION D'IRRECEVABILITÉ, CONVENTION DE NEW YORK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1.2</w:t>
      </w:r>
    </w:p>
    <w:p>
      <w:r>
        <w:t>Interjeté, dans le délai légal (l’ordonnance, approuvée par le Procureur général le 25 janvier 2016, ayant été adressée au plaignant sous pli déposé à la poste le 29 janvier suivant), auprès de l’autorité compétente par le plaignant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r>
        <w:rPr>
          <w:b/>
        </w:rPr>
        <w:t>E. 3.1</w:t>
      </w:r>
    </w:p>
    <w:p>
      <w:r>
        <w:t>Le recourant s’attache à exposer dans son acte de recours la liste des faits qui seraient selon lui constitutifs d’une infraction pénale, soutenant d’une manière générale qu’il aurait fait l’objet de mauvais traitements et que le droit n’aurait pas été respecté lors de l’intervention à laquelle il a été procédé à son encontre.</w:t>
      </w:r>
    </w:p>
    <w:p>
      <w:r>
        <w:rPr>
          <w:b/>
        </w:rPr>
        <w:t>E. 3.2</w:t>
      </w:r>
    </w:p>
    <w:p>
      <w:r>
        <w:t>La Convention de New York du 10 décembre 1984 contre la torture et autres peines ou traitements cruels, inhumains ou dégradants (entrée en vigueur pour la Suisse le 26 juin 1987; RS 0.105) oblige les Etats parties à se doter d'une loi qui punisse de manière appropriée les actes de torture, ainsi que les actes constitutifs de peines ou de traitements cruels, inhumains ou dégradants, et à instituer des tribunaux compétents pour appliquer cette loi (cf. art. 4, 5 et 16). Son art. 12 oblige les Etats parties à veiller à ce que les autorités compétentes procèdent immédiatement à une enquête impartiale à chaque fois qu'il existe des motifs raisonnables de croire qu'un tel acte a été commis sur un territoire soumis à leur juridiction (TF 1B_105/2011 du 14 septembre 2011 consid. 3.1). Quant à la Convention du 4 novembre 1950 de sauvegarde des droits de l'homme et des libertés fondamentales (CEDH, entrée en vigueur pour la Suisse le 28 novembre 1974; RS 0.101), elle garantit au justiciable le droit à une enquête officielle approfondie et effective (cf. art. 3 et 13 CEDH). Fondant une obligation de moyens, et non de résultat, la Convention impose aux autorités nationales de prendre toutes les mesures raisonnables possibles pour obtenir les preuves relatives aux faits en question, telles que l'audition des personnes impliquées, les dépositions des témoins oculaires, les expertises ou les certificats médicaux. Toute défaillance dans les investigations qui compromet la capacité des autorités à établir les faits ou les responsabilités peut être constitutive d'une violation de l'art. 3 CEDH. Par ailleurs, les autorités doivent agir avec célérité et diligence (cf. arrêt de la CourEDH Abdu c. Bulgarie du 11 mars 2014, par. 43: TF 1B_771/2012 du 20 août 2013 consid. 2.1: TF 1B_10/2012 du 29 mars 2012 consid. 1.2.3). Selon la jurisprudence du Tribunal fédéral, celui qui prétend de manière défendable avoir été traité d'une façon dégradante par un fonctionnaire de police a droit à une enquête officielle effective et approfondie (ATF 131 I 455 consid. 1.2.5). La jurisprudence reconnaît aux personnes qui se prétendent victimes de traitements prohibés, d'une part, le droit de porter plainte et, d'autre part, un droit propre à une enquête prompte et impartiale devant aboutir, s'il y a lieu, à la condamnation pénale des responsables. La victime de tels traitements peut également bénéficier d'un droit de recours, en vertu des mêmes dispositions (ATF 138 IV 86 consid. 3.1; cf. aussi CREP du 29 février 2016/133).</w:t>
      </w:r>
    </w:p>
    <w:p>
      <w:r>
        <w:rPr>
          <w:b/>
        </w:rPr>
        <w:t>E. 3.3</w:t>
      </w:r>
    </w:p>
    <w:p>
      <w:r>
        <w:t>En l’espèce, le recourant affirme que, lors de son arrestation, le gendarme incriminé par son matricule et ses collègues lui auraient infligé des lésions corporelles, s’agissant en particulier du bris de trois dents et d’une couronne dentaire. Il a produit un rapport médical libellé le 28 octobre 2015 sur formulaire ad hoc de l’assurance-maladie (P. 7/1/2) ainsi qu’un rapport complémentaire établi par le cabinet dentaire [...] le 8 mars 2016 (P. 10/1) qui attestent de l’existence de lésions dentaires. Au vu de ces éléments et de la jurisprudence précitée, l’ordonnance de non-entrée en matière rendue par le Ministère public ne peut pas être confirmée. Il convient en effet de procéder à la vérification des déclarations du plaignant, qui bénéficie comme tout justiciable d’un droit à la mise en œuvre d’une enquête effective (CREP 29 février 2016/133). Il incombe par conséquent au Procureur d’ouvrir une instruction afin d’élucider, dans la mesure du possible, les faits de la cause, le cas échéant en procédant notamment à l’audition de tout ou partie des gendarmes de la patrouille intervenue à l’égard du recourant le 12 septembre 2015.</w:t>
      </w:r>
    </w:p>
    <w:p>
      <w:r>
        <w:rPr>
          <w:b/>
        </w:rPr>
        <w:t>E. 4</w:t>
      </w:r>
    </w:p>
    <w:p>
      <w:r>
        <w:t>Il résulte de ce qui précède que le recours doit être admis, l'ordonnance de non-entrée en matière du 6 janvier 2016 annulée et la cause renvoyée au Ministère public pour qu'il procède dans le sens des considérants (cf. consid. 3.3). Les frais de la procédure de recours, constitués en l'espèce du seul émolument d'arrêt, par 660 fr. (art. 422 al. 1 CPP et 20 al. 1 TFIP [Tarif des frais de procédure et indemnités en matière pénale du 28 septembre 2010; RSV 312.03.1]), seront laissés à la charge de l’Etat (art. 423 al. 1 CPP). S’agissant des dépens réclamés par le recourant, il appartiendra, le cas échéant, à ce dernier d’adresser à la fin de la procédure ses prétentions à l’autorité pénale compétente selon l’art. 433 al. 2 CPP (CREP 16 avril 2013/279 consid. 4 et les références citées). Par ces motifs, la Chambre des recours pénale prononce : I. Le recours est admis. II. L’ordonnance du 6 janvier 2016 est annulée. III. Le dossier de la cause est renvoyé au Ministère public de l’arrondissement de La Côte pour qu’il procède dans le sens des considérants. IV. Les frais d’arrêt, par 660 fr. (six cent soixante francs), sont laissés à la charge de l’Etat. V. Le présent arrêt est exécutoire. Le président :              Le greffier : Du Le présent arrêt, dont la rédaction a été approuvée à huis clos, est notifié, par l'envoi d'une copie complète, à : - Me Henri Bercher, avocat (pour U.________),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