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211 vom 30. März 2016</w:t>
      </w:r>
    </w:p>
    <w:p>
      <w:r>
        <w:t>VD Tribunal cantonal, 2016-03-30, FR</w:t>
      </w:r>
    </w:p>
    <w:p>
      <w:r>
        <w:rPr>
          <w:b/>
        </w:rPr>
        <w:t xml:space="preserve">Quelle: </w:t>
      </w:r>
      <w:r>
        <w:t>https://mcp.opencaselaw.ch/entscheid/vd_findinfo_D_cision___2016___211</w:t>
      </w:r>
    </w:p>
    <w:p>
      <w:r>
        <w:t>FR: VD_FINDINFO Décision / 2016 / 211 du 30 mars 2016</w:t>
      </w:r>
    </w:p>
    <w:p>
      <w:r>
        <w:t>IT: VD_FINDINFO Décision / 2016 / 211 del 30 marzo 2016</w:t>
      </w:r>
    </w:p>
    <w:p>
      <w:pPr>
        <w:pStyle w:val="Heading2"/>
      </w:pPr>
      <w:r>
        <w:t>Regeste</w:t>
      </w:r>
    </w:p>
    <w:p>
      <w:r>
        <w:t>RÉCUSATION | 56 let. f CPP (CH), 59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11 décembre 2015/815 ; CREP 23 avril 2012/197).</w:t>
      </w:r>
    </w:p>
    <w:p>
      <w:r>
        <w:rPr>
          <w:b/>
        </w:rPr>
        <w:t>E. 2</w:t>
      </w:r>
    </w:p>
    <w:p>
      <w:r>
        <w:t>Par arrêt 1B_435/2015 du 25 février 2016, le Tribunal fédéral a réformé la décision de la Chambre des recours pénale du 19 novembre 2015, en ce sens que la demande de récusation du Procureur V.________ a été admise, et a renvoyé la cause à la Chambre des recours pénale pour désignation d’un autre procureur et pour nouvelle décision sur les frais et indemnités de la procédure devant la Chambre des recours pénale.</w:t>
      </w:r>
    </w:p>
    <w:p>
      <w:r>
        <w:rPr>
          <w:b/>
        </w:rPr>
        <w:t>E. 3.1</w:t>
      </w:r>
    </w:p>
    <w:p>
      <w:r>
        <w:t>S’agissant de la désignation d’un autre procureur, l’art. 6 al. 2 LMPu (Loi vaudoise sur le Ministère public du 19 mai 2009 ; RSV 173.21) prévoit que lorsque la récusation d’un procureur est prononcée, le Procureur général peut soit se saisir de l’affaire, soit désigner un autre procureur. Partant, le dossier de la cause sera transmis au Procureur général en vue de la nomination d’un autre procureur (CREP 12 février 2016/75 consid. 2).</w:t>
      </w:r>
    </w:p>
    <w:p>
      <w:r>
        <w:rPr>
          <w:b/>
        </w:rPr>
        <w:t>E. 3.2</w:t>
      </w:r>
    </w:p>
    <w:p>
      <w:r>
        <w:t>Les frais de la décision de la Cour de céans du 19 novembre 2015, annulée par le Tribunal fédéral, ainsi que l’indemnité d’office allouée au défenseur de Djavit Djaviti, par 291 fr. 60, TVA et débours inclus, seront laissés à la charge de l’Etat (art. 59 al. 4 CPP).</w:t>
      </w:r>
    </w:p>
    <w:p>
      <w:r>
        <w:rPr>
          <w:b/>
        </w:rPr>
        <w:t>E. 4</w:t>
      </w:r>
    </w:p>
    <w:p>
      <w:r>
        <w:t>Les frais de la présente décision (art. 422 al. 1 CPP), par 440 fr. (art. 20 al. 1 TFIP [tarif des frais de procédure et indemnités en matière pénale du 28 septembre 2010; RSV 312.03.1]), seront laissés à la charge de l'Etat (art. 423 al. 1 CPP). Par ces motifs, la Chambre des recours pénale prononce : I. Les frais de la décision de la Chambre des recours pénale du 19 novembre 2015, par 770 fr. (sept cent septante francs), l’indemnité allouée au défenseur d’office de B.________, par 291 fr. 60 (deux cent nonante et un francs et soixante centimes), et les frais de la présente décision, par 440 fr. (quatre cent quarante francs), sont laissés à la charge de l’Etat. II. Le dossier de la cause est transmis au Procureur général du Canton de Vaud pour désignation d’un autre procureur. III. La présente décision est exécutoire. Le président :               Le greffier : Du La présente décision, dont la rédaction a été approuvée à huis clos, est notifiée, par l'envoi d'une copie complète, à : - Me Fabien Mingard, avocat (pour B.________), - Ministère public central, et communiquée à : - M. le Procureur cantonal Strada,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