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209 vom 30. März 2016</w:t>
      </w:r>
    </w:p>
    <w:p>
      <w:r>
        <w:t>VD Tribunal cantonal, 2016-03-30, FR</w:t>
      </w:r>
    </w:p>
    <w:p>
      <w:r>
        <w:rPr>
          <w:b/>
        </w:rPr>
        <w:t xml:space="preserve">Quelle: </w:t>
      </w:r>
      <w:r>
        <w:t>https://mcp.opencaselaw.ch/entscheid/vd_findinfo_D_cision___2016___209</w:t>
      </w:r>
    </w:p>
    <w:p>
      <w:r>
        <w:t>FR: VD_FINDINFO Décision / 2016 / 209 du 30 mars 2016</w:t>
      </w:r>
    </w:p>
    <w:p>
      <w:r>
        <w:t>IT: VD_FINDINFO Décision / 2016 / 209 del 30 marzo 2016</w:t>
      </w:r>
    </w:p>
    <w:p>
      <w:pPr>
        <w:pStyle w:val="Heading2"/>
      </w:pPr>
      <w:r>
        <w:t>Regeste</w:t>
      </w:r>
    </w:p>
    <w:p>
      <w:r>
        <w:t>MESURE THÉRAPEUTIQUE INSTITUTIONNELLE, LIBÉRATION CONDITIONNELLE | 62 al. 1 CP, 62d al. 1 CP</w:t>
      </w:r>
    </w:p>
    <w:p>
      <w:pPr>
        <w:pStyle w:val="Heading2"/>
      </w:pPr>
      <w:r>
        <w:t>Erwägungen</w:t>
      </w:r>
    </w:p>
    <w:p>
      <w:r>
        <w:rPr>
          <w:b/>
        </w:rPr>
        <w:t>E. 1.1</w:t>
      </w:r>
    </w:p>
    <w:p>
      <w:r>
        <w:t>et la jurisprudence citée, JdT 2011 IV 395). Selon l’art. 62 al. 1 CP, l'auteur est libéré conditionnellement de l'exécution institutionnelle de la mesure dès que son état justifie de lui donner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consid.</w:t>
      </w:r>
    </w:p>
    <w:p>
      <w:r>
        <w:rPr>
          <w:b/>
        </w:rPr>
        <w:t>E. 1.2</w:t>
      </w:r>
    </w:p>
    <w:p>
      <w:r>
        <w:t>et la jurisprudence citée). Ce pronostic doit être posé en tenant compte du principe de la proportionnalité (art.</w:t>
      </w:r>
    </w:p>
    <w:p>
      <w:r>
        <w:rPr>
          <w:b/>
        </w:rPr>
        <w:t>E. 2.1</w:t>
      </w:r>
    </w:p>
    <w:p>
      <w:r>
        <w:t>Statuant en l’état du dossier, le premier juge a refusé la libération conditionnelle de la mesure thérapeutique institutionnelle, motif pris du risque que le recourant compromette la sécurité publique. Tenant un tel élargissement pour prématuré, le magistrat a considéré que l’interné restait anosognosique, ne formulait pas de projet de vie autonome faute de saisir pleinement la portée de la libération conditionnelle et gardait une relation problématique avec l’alcool. Pour sa part, le recourant fait valoir en substance que le refus de la libération conditionnelle serait disproportionné, dès lors que, depuis 2011, l’exécution de la mesure thérapeutique institutionnelle n’avait connu aucun incident et qu’il respectait le cadre thérapeutique et socio-éducatif de son institution d’accueil.</w:t>
      </w:r>
    </w:p>
    <w:p>
      <w:r>
        <w:rPr>
          <w:b/>
        </w:rPr>
        <w:t>E. 2.2</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w:t>
      </w:r>
    </w:p>
    <w:p>
      <w:r>
        <w:rPr>
          <w:b/>
        </w:rPr>
        <w:t>E. 2.3</w:t>
      </w:r>
    </w:p>
    <w:p>
      <w:r>
        <w:t>Avant tout examen du fond des conditions de la libération conditionnelle, i l doit être déterminé s’il peut être statué au vu du dossier. La dernière expertise (au sens strict) à laquelle a été soumis le recourant remonte à 2011. S’agissant d’une schizophrénie résistante au traitement, aucun élément au dossier n’étaye une guérison, même si, comme on le verra plus en détail ci-dessous, l’interné maîtrise mieux ses symptômes au fil du temps. Tout porte donc à croire qu’un complément d’expertise, auquel le recourant a par ailleurs dit refuser de se soumettre, ne pourrait que confirmer les diagnostics déjà posés. Il doit donc être statué en l’état.</w:t>
      </w:r>
    </w:p>
    <w:p>
      <w:r>
        <w:rPr>
          <w:b/>
        </w:rPr>
        <w:t>E. 2.4</w:t>
      </w:r>
    </w:p>
    <w:p>
      <w:r>
        <w:t>Le recourant excipe de l’amélioration constatée par les différents intervenants, de son respect du cadre posé et des efforts qu’il a accomplis pour parvenir à une alliance thérapeutique avec le personnel soignant. C’est à juste titre qu’il fait valoir qu’il s’agit d’éléments favorables. En effet, l’évolution est bonne et le traitement dispensé porte ses fruits, notamment depuis l’entrée du recourant au Centre de jour « [...] », le 30 juillet 2013. Du reste, les louables efforts du recourant ont d’ores et déjà permis le remplacement de l’internement initialement ordonné par une mesure thérapeutique institutionnelle. Il n’en reste cependant pas moins que le recourant a été poursuivi pour des infractions de nature à compromettre sérieusement la sécurité publique, à savoir pour tentative de meurtre et lésions corporelles graves, en plus de moult autres délits. La gravité de ces infractions justifie des précautions particulières et l’assurance d’une évolution favorable au-delà de tout doute raisonnable. Or, l’interné peine à saisir les conséquences et la portée d’une vie autonome. Il se montre encore dépendant du personnel d’encadrement, comme en témoigne le fait qu’il lui est difficile de se retrouver seul en fin de semaine et qu’il sollicite alors par téléphone l’attention et l’étayage du piquet de garde de son institution d’accueil. Ces éléments établissent une importante dépendance psychologique à l’égard de l’institution. De même, ils augurent de certaines difficultés dans une vie autonome en liberté. Tant les experts que les psychiatres traitant du recourant considèrent ainsi qu’il est nécessaire de poursuivre la mesure thérapeutique institutionnelle, ajoutant qu’une libération conditionnelle semblait prématurée et serait susceptible de contribuer à la déstabilisation de l’équilibre du recourant, avec une augmentation du risque de décompensation psychique. Qui plus est, comme la direction de l’institution l’a relevé dans un avis solidement étayé, l’interné est encore fragile psychologiquement et intolérant à la frustration, ce qui peut le mener à des conduites à risque. En effet, son rapport à l’autre reste parfois délirant et les troubles de la pensée d’origine pathologique suscitent une fuite des idées et des amalgames inadaptés, lesquels augmentent son stress et ses angoisses. De telles circonstances, relevées tant par les psychiatres que par le personnel d’encadrement, sont de nature à favoriser la perpétration d’infractions pénales de nature et de gravité similaires à celles pour lesquelles le recourant a été poursuivi en 1999. L’évolution favorable constatée par ailleurs ne suffit pas à infirmer ces facteurs de mauvais pronostic pour la période proche. Il appartiendra au recourant de poursuivre dans son bon comportement et de travailler pour préparer son autonomie en vue d’une libération. Enfin, même si ce n’est pas déterminant, l’audition de l’intéressé par le premier juge a révélé par moments un discours peu cohérent, qui doit être tenu pour révélateur de difficultés à se positionner par rapport à une réalité contraignante. Il s’agit d’un élément supplémentaire qui plaide en défaveur d’une libération conditionnelle. Les conditions qui permettraient d’accorder la libération conditionnelle de la mesure thérapeutique institutionnelle ne sont ainsi pas réunies en l’état. 3. En définitive, le recours, manifestement mal fondé, doit être rejeté sans autre échange d’écritures (art. 390 al. 2 CPP) et l’ordonnance du 7 mars 2016 confirmée. Les frais de la procédure de recours, constitués en l’espèce de l'émolument d'arrêt (art. 422 al. 1 CPP), par 1’100 fr. (art. 20 al. 1 TFIP [tarif des frais de procédure et indemnités en matière pénale du 28 septembre 2010;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mars 2016 est confirmée. III. L'indemnité allouée au défenseur d'office du recourant est fixée à 583 fr. 20 (cinq cent huitante trois francs et vingt centimes). IV. Les frais du présent arrêt, par 1’100 fr. (mille cent francs), ainsi que l'indemnité due au défenseur d'office du recourant, par 583 fr. 20 (cinq cent huitante trois francs et vingt centimes), sont mis à la charge de ce dernier. V. Le remboursement à l'Etat de l'indemnité allouée au chiffre III ci-dessus sera exigible pour autant que la situation du recourant se soit améliorée. VI. Le présent arrêt est exécutoire. Le président :               Le greffier : Du Le présent arrêt, dont la rédaction a été approuvée à huis clos, est notifié, par l'envoi d'une copie complète, à : - Me Stefan Graf, avocat (pour P.________), - Ministère public central, et communiqué à : ‑ M. le Juge d’application des peines, - Direction du Centre de jour « [...] », [...], - Office d’exécution des peines (MES/3641/CGY/NJ),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consid. 1.2 et les arrêts cités). Le pronostic doit également tenir compte de la durée de la privation de liberté déjà subie par l'auteur. A cet égard, une durée de huit ans pour une mesure thérapeutique institutionnelle n’apparaît pas disproportionnée par rapport à l’intérêt public qu’est la prévention de futures infractions (ATF 137 IV 201 précité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