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205 vom 24. März 2016</w:t>
      </w:r>
    </w:p>
    <w:p>
      <w:r>
        <w:t>VD Tribunal cantonal, 2016-03-24, FR</w:t>
      </w:r>
    </w:p>
    <w:p>
      <w:r>
        <w:rPr>
          <w:b/>
        </w:rPr>
        <w:t xml:space="preserve">Quelle: </w:t>
      </w:r>
      <w:r>
        <w:t>https://mcp.opencaselaw.ch/entscheid/vd_findinfo_D_cision___2016___205</w:t>
      </w:r>
    </w:p>
    <w:p>
      <w:r>
        <w:t>FR: VD_FINDINFO Décision / 2016 / 205 du 24 mars 2016</w:t>
      </w:r>
    </w:p>
    <w:p>
      <w:r>
        <w:t>IT: VD_FINDINFO Décision / 2016 / 205 del 24 marzo 2016</w:t>
      </w:r>
    </w:p>
    <w:p>
      <w:pPr>
        <w:pStyle w:val="Heading2"/>
      </w:pPr>
      <w:r>
        <w:t>Regeste</w:t>
      </w:r>
    </w:p>
    <w:p>
      <w:r>
        <w:t>DÉCISION D'IRRECEVABILITÉ, NON-LIEU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Interjeté dans le délai légal auprès de l’autorité compétente par la partie plaignante qui a qualité pour recourir (art. 382 al. 1 CPP) et satisfaisant aux conditions légales de forme (art. 385 al. 1 CPP), le recours est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 6B_127/2013 du 3 septembre 2013 consid. 4.1). Celui-ci découle du principe de la légalité (art. 5 al. 1 Cst. [Constitution fédérale de la Confédération suisse; RS 101]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2.2</w:t>
      </w:r>
    </w:p>
    <w:p>
      <w:r>
        <w:t>A l’instar de la plainte, le recours se limite à un plaidoyer pro domo. De manière récurrente, le plaignant se borne à faire état d’aspects selon lui tendancieux de la publication qu’il incrimine, tentant de faire accroire qu’elle aurait contribué à susciter un climat défavorable à la défense lors des débats publics. Pour le reste, hormis un moyen portant sur le point de départ du délai de plainte (cf. paragraphe ci-dessous), le recourant n’articule aucun moyen juridique dont on pourrait déduire que la non-entrée en matière contreviendrait à une quelconque norme légale, singulièrement à l’art. 310 CPP. Aussi bien, il apparait que tel n’est pas le cas, faute pour le dossier de comporter le moindre élément dont il ressortirait que les éléments constitutifs d’une quelconque infraction seraient réalisés et qui serait, partant, de nature à justifier l’ouverture d’une instruction pénale à raison du contenu de la publication incriminée. Renvoi soit pour le surplus à la motivation de l’ordonnance entreprise, bien étayée. Qui plus est, la plainte, déposée un an et demi après la parution de l’article de presse litigieux, est tardive au regard de l’art. 31 CP, applicable aux infractions contre l’honneur par renvoi de l’art. 178 al. 2 CP. Il n’y a en effet aucune raison de retenir que le plaignant n’aurait pas eu connaissance avant le 12 décembre 2013, respectivement le lendemain, de la publication qu’il incrimine et l’intéressé ne le soutient du reste pas. Il fait valoir en revanche que le dies a quo du délai de plainte devrait être le jour du prononcé du jugement de première instance, soit le 13 décembre 2013. Une telle solution serait toutefois contraire au texte légal, l’art. 31, seconde phrase, CP prévoyant que le délai court du jour où l'ayant droit a connu l'auteur de l'infraction. Le moyen du recours ne trouve aucun appui dans la jurisprudence, ni même dans la doctrine (cf. ATF 132 IV 49 consid. 3.2; Favre/Pellet/ Stoudmann, Code pénal annoté, 3 e éd., Lausanne 2007/2011, n. 1.3 ad art. 31 CP).</w:t>
      </w:r>
    </w:p>
    <w:p>
      <w:r>
        <w:rPr>
          <w:b/>
        </w:rPr>
        <w:t>E. 2.3</w:t>
      </w:r>
    </w:p>
    <w:p>
      <w:r>
        <w:t>Les conditions posées par l’art. 310 al. 1 let. a CPP étant ainsi réunies, c’est à bon droit que le Procureur général a rendu une ordonnance de non-entrée en matière.</w:t>
      </w:r>
    </w:p>
    <w:p>
      <w:r>
        <w:rPr>
          <w:b/>
        </w:rPr>
        <w:t>E. 3</w:t>
      </w:r>
    </w:p>
    <w:p>
      <w:r>
        <w:t>En définitive, le recours, manifestement mal fondé, doit être rejeté sans autres échanges d’écritures (art. 390 al. 2 CPP) et l’ordonnance du 11 mars 2016 confirmée. La requête tendant à l’octroi de l’assistance judiciaire gratuite pour la procédure de recours doit être rejetée, le recours étant d'emblée dénué de chance de succès (CREP 13 août 2015/478, et les références citées; Ruckstuhl, in : Niggli/ Heer/Wiprächtiger [éd.], Basler Kommentar, Schweizerische Strafprozessordnung, Jugendstrafprozessordnung, Art. 1-195 StPO, 2 e éd., Bâle 2014, n. 10 ad art. 132 CPP). Les frais de la procédure de recours, constitués en l’espèce de l’émolument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11 mars 2016 est confirmée. III. La requête d'assistance judiciaire pour la procédure de recours est rejetée. IV. Les frais du présent arrêt, par 550 fr. (cinq cent cinquante francs), sont mis à la charge d’P.________. V. Le présent arrêt est exécutoire. Le président :               Le greffier : Du Le présent arrêt, dont la rédaction a été approuvée à huis clos, est notifié, par l'envoi d'une copie complète, à : - M. P.________,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