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204 vom 23. März 2016</w:t>
      </w:r>
    </w:p>
    <w:p>
      <w:r>
        <w:t>VD Tribunal cantonal, 2016-03-23, FR</w:t>
      </w:r>
    </w:p>
    <w:p>
      <w:r>
        <w:rPr>
          <w:b/>
        </w:rPr>
        <w:t xml:space="preserve">Quelle: </w:t>
      </w:r>
      <w:r>
        <w:t>https://mcp.opencaselaw.ch/entscheid/vd_findinfo_D_cision___2016___204</w:t>
      </w:r>
    </w:p>
    <w:p>
      <w:r>
        <w:t>FR: VD_FINDINFO Décision / 2016 / 204 du 23 mars 2016</w:t>
      </w:r>
    </w:p>
    <w:p>
      <w:r>
        <w:t>IT: VD_FINDINFO Décision / 2016 / 204 del 23 marzo 2016</w:t>
      </w:r>
    </w:p>
    <w:p>
      <w:pPr>
        <w:pStyle w:val="Heading2"/>
      </w:pPr>
      <w:r>
        <w:t>Regeste</w:t>
      </w:r>
    </w:p>
    <w:p>
      <w:r>
        <w:t>RISQUE DE RÉCIDIVE, RISQUE DE COLLUSION | 221 al. 1 CP</w:t>
      </w:r>
    </w:p>
    <w:p>
      <w:pPr>
        <w:pStyle w:val="Heading2"/>
      </w:pPr>
      <w:r>
        <w:t>Erwägungen</w:t>
      </w:r>
    </w:p>
    <w:p>
      <w:r>
        <w:rPr>
          <w:b/>
        </w:rPr>
        <w:t>E. 10</w:t>
      </w:r>
    </w:p>
    <w:p>
      <w:r>
        <w:t>septembre 2016 (II) et a dit que les frais de cette ordonnance, par 450 fr., suivaient le sort de la cau se (III). C. Par acte du 17 mars 2016, remis à la poste le même jour, S.________, par son défenseur d’office, a recouru contre cette ordonnance en concluant, avec suite de frais et dépens, à sa réforme en ce sens que sa libération immédiate soit ordonnée, subsidiairement à ce qu’elle ne le soit qu’en étant assortie de mesures de substitution. Subsidiairement, il a conclu à l’annulation de l’ordonnance, la cause étant renvoyée à l’autorité intimée pour nouvelle décision dans le sens des considérants. Il n’a pas été ordonné d’échange d’écritures. En droit : 1. Aux termes de l’art. 393 al. 1 let. c CPP,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12 février 2015/111; CREP 7 février 2011/14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art. 80 LOJV [loi vaudoise du 12 décembre 1979 d’organisation judiciaire; RSV 173.01]). En l’espèce, le recours a été interjeté en temps utile devant l’autorité compétente, par le détenu, qui a qualité pour recourir (cf. art. 382 al. 1 CPP), et dans les formes prescrites (cf. art. 385 al. 1 CPP), de sorte qu’il est recevable.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2.2 En l’espèce, même si, dans son recours, S.________ discute certains points en relation avec les faits mis à sa charge, il ne conteste pas l’existence de graves soupçons de culpabilité (recours, p. 4 et 6 in fine ). Il a par ailleurs reconnu une partie des faits qui lui sont reprochés dans son audition du 24 septembre 2015 (PV aud. 12, lignes 254 à 354). De plus, comme l’ont relevé le Ministère public et le Tribunal des mesures de contrainte, les soupçons pour les faits non encore admis se renforcent au fur et à mesure de l’avancement de l’enquête (cf. ordonnance attaquée, p. 4 let. b). 3. 3.1 Le recourant conteste l’existence du risque de récidive. Il soutient qu’aucun élément ne permettrait concrètement de démontrer une quelconque existence de ce risque et explique qu’après plus de douze mois passés en détention provisoire, il aurait pris conscience des risques qu’il encourrait en cas de récidive (recours, p. 6 let. b). 3.2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La jurisprudence et la doctrine admettent que l'escroquerie par métier, dont la réitération est redoutée en l'occurrence, compromet sérieusement la sécurité d’autrui, au sens de l’art. 221 al. 1 let. c CPP (Forster, in : Niggli/Heer/Wiprächtiger [éd.], Basler Kommentar, Schweizerische Strafprozessordnung, Jugendstrafprozessordnung, 2 e éd., Bâle 2014, n. 14 ad art. 221 CPP et les références citées). 3.3 En l’espèce, la Cour de céans relève que malgré un casier judiciaire vierge, le recourant, mis en cause pour escroquerie par métier, est soupçonné d'avoir agi depuis l’année 2006 déjà, causant un préjudice global de près de 13 millions de francs à ses investisseurs. A cela s’ajoute l’absence de prise de conscience du recourant, qui persiste à contester le caractère pénal de ses agissements. Avec les premiers juges, force est en outre de constater la situation précaire à laquelle s’exposerait le prévenu à sa libération. En effet, S.________ a des dettes s’élevant à plusieurs millions de francs et ne pourra plus vivre selon son ancien train de vie luxueux. Partant, le risque qu’il continue dans la voie délictueuse, notamment avec de nouveaux emprunts, pour subvenir à ses besoins est manifeste, nonobstant l’activité salariale annoncée qui lui permettrait de réaliser un salaire initial de 5'000 fr. par mois. Pour le surplus, la Cour se réfère intégralement à son arrêt du 18 décembre 2015, qui reste d’actualité (CREP 18 décembre 2015/850 consid. 2.5 p. 8). Dans ces conditions et à ce stade de l’enquête, le risque de réitération est toujours réalisé. 4. Les conditions de l’art. 221 al. 1 CPP étant alternatives (TF 1B_249/2011 du 7 juin 2011 consid. 2.4), l’existence du risque de réitération dispense d’examiner si la détention provisoire s’impose également en raison d’un risque de fuite ou d’un risque de collusion, invoqués par le Ministère public à l’appui de sa demande de prolongation. 5. Le prévenu est détenu depuis le 10 mars 2015, soit depuis un peu plus de douze mois. L’escroquerie par métier est punissable d’une peine privative de liberté de 10 ans au plus (art. 146 al. 2 CP) et l’on se trouve dans ce cas à un niveau supérieur de gravité. Partant, S.________ s'expose à une peine privative de liberté d’une durée encore supérieure à celle de la détention provisoire subie à ce jour, respectivement à subir jusqu’au 10 septembre 2016. Par conséquent, le principe de la proportionnalité demeure respecté (ATF 133 I 168 consid. 4.1 et les arrêts cités; ATF 132 I 21 consid. 4.1; TF 1B_411/2011 du 31 août 2011 consid. 4.1). 6. Le recourant requiert, à titre subsidiaire, des mesures de substitution, s’agissant en particulier de l'obligation d'avoir un travail régulier (salarié), de l'interdiction d'entretenir des relations avec certaines personnes et du dépôt de ses papiers d’identité assorti à l’obligation de se présenter régulièrement à un service administratif. S’agissant principalement de l’obligation d’avoir une activité (salariée), selon l’art. 237 al. 2 let. e CPP, on ne voit pas, contrairement à ce que le prévenu fait plaider, en quoi elle serait de nature à réduire sensiblement le risque de réitération. Comme déjà relevé, le contrat de travail produit prévoit en effet un salaire relativement modique pour un financier précédemment habitué à mener grand train de vie. Pour le surplus, s’agissant des autres mesures de substitution proposées, l’on peut se référer intégralement à l’arrêt de la Cour de céans du 18 décembre 2015 (cf. CREP 18 décembre 2015/850 consid. 2.6 in fine ). 7. L’art. 227 al. 7 CPP prévoit la possibilité de prolonger plusieurs fois la détention provisoire, à chaque fois pour une durée de trois mois au plus ou, dans des cas exceptionnels pour six mois. Pour une prolongation d’une durée supérieure à trois mois, deux conditions doivent être réalisées : les motifs de détention seront très vraisemblablement donnés dans six mois encore et il apparaît que l’instruction, même menée rapidement, ne pourra être achevée dans les six mois. Ces conditions sont cumulatives (Moreillon/Parein-Reymond, Petit commentaire, Code de procédure pénale, Bâle 2013, n. 28 ad art. 227 CPP). En l’espèce, les conditions de l’art. 217 al. 7 CPP sont remplies. Vu l’ampleur de l’affaire, l’instruction, même menée avec célérité, durera encore immanquablement plus de six mois (cf. P. 460/2/5, p. 21) et les motifs de détention invoqués seront très vraisemblablement donnés dans six mois encore. 8. En définitive, le recours, manifestement mal fondé tant en ce qu’il concerne la prolongation de la détention que le rejet de la demande de mise en liberté provisoire, doit être rejeté sans autre échange d’écritures (art. 390 al. 2 CPP) et l'ordonnance du 7 mars 2016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du recourant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7 mars 2016 est confirmée. III. L'indemnité allouée au défenseur d'office de S.________ est fixée à  583 fr. 20 (cinq cent huitante-trois francs et vingt centimes). IV. Les frais du présent arrêt, par 880 fr. (huit cent huitante francs), ainsi que l'indemnité due au défenseur d'office de S.________ selon le chiffre III ci-dessus, sont mis à la charge de ce dernier V. Le remboursement à l'Etat de l'indemnité allouée au chiffre III ci-dessus sera exigible pour autant que la situation de S.________ se soit améliorée VI. Le présent arrêt est exécutoire. Le président :               La greffière : Du Le présent arrêt, dont la rédaction a été approuvée à huis clos, est notifié, par l'envoi d'une copie complète, à : - Me Sandra Gerber, avocate (pour S.________), - Ministère public central, et communiqué à : - M. le Procureur du Ministère public central, division criminalité économique et entraide judiciaire, - M. le Président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