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202 vom 15. April 2016</w:t>
      </w:r>
    </w:p>
    <w:p>
      <w:r>
        <w:t>VD Tribunal cantonal, 2016-04-15, FR</w:t>
      </w:r>
    </w:p>
    <w:p>
      <w:r>
        <w:rPr>
          <w:b/>
        </w:rPr>
        <w:t xml:space="preserve">Quelle: </w:t>
      </w:r>
      <w:r>
        <w:t>https://mcp.opencaselaw.ch/entscheid/vd_findinfo_D_cision___2016___202</w:t>
      </w:r>
    </w:p>
    <w:p>
      <w:r>
        <w:t>FR: VD_FINDINFO Décision / 2016 / 202 du 15 avril 2016</w:t>
      </w:r>
    </w:p>
    <w:p>
      <w:r>
        <w:t>IT: VD_FINDINFO Décision / 2016 / 202 del 15 aprile 2016</w:t>
      </w:r>
    </w:p>
    <w:p>
      <w:pPr>
        <w:pStyle w:val="Heading2"/>
      </w:pPr>
      <w:r>
        <w:t>Regeste</w:t>
      </w:r>
    </w:p>
    <w:p>
      <w:r>
        <w:t>USAGE ABUSIF, INSTALLATION DE TÉLÉCOMMUNICATION, NON-LIEU | 179septies CP, 319 al. 1 CPP (CH), 354 CPP (CH)</w:t>
      </w:r>
    </w:p>
    <w:p>
      <w:pPr>
        <w:pStyle w:val="Heading2"/>
      </w:pPr>
      <w:r>
        <w:t>Erwägungen</w:t>
      </w:r>
    </w:p>
    <w:p>
      <w:r>
        <w:rPr>
          <w:b/>
        </w:rPr>
        <w:t>E. 1</w:t>
      </w:r>
    </w:p>
    <w:p>
      <w:r>
        <w:t>CPP), l’ordonnance ayant été adressée aux parties pour notification le 18 février 2016, auprès de l’autorité compétente, par la partie plaignante. Il satisfaisait aux conditions de forme posées par la loi (cf. l’art. 385 al. 1 CPP).</w:t>
      </w:r>
    </w:p>
    <w:p>
      <w:r>
        <w:rPr>
          <w:b/>
        </w:rPr>
        <w:t>E. 1.2</w:t>
      </w:r>
    </w:p>
    <w:p>
      <w:r>
        <w:t>Quant à juger si le recours est recevable, il faut considérer ce qui suit :</w:t>
      </w:r>
    </w:p>
    <w:p>
      <w:r>
        <w:rPr>
          <w:b/>
        </w:rPr>
        <w:t>E. 1.2.1</w:t>
      </w:r>
    </w:p>
    <w:p>
      <w:r>
        <w:t>La forme et le contenu de l’ordonnance de non-entrée en matière sont régis par les art. 80 et 81 CPP (art. 320 al. 1 CPP, applicable par renvoi de l’art. 310 al. 2 CPP). L’ordonnance de non-entrée en matière doit être motivée et rendue par écrit (art. 80 al.</w:t>
      </w:r>
    </w:p>
    <w:p>
      <w:r>
        <w:rPr>
          <w:b/>
        </w:rPr>
        <w:t>E. 1.2.2</w:t>
      </w:r>
    </w:p>
    <w:p>
      <w:r>
        <w:t>Les seules infractions constituant l’objet du recours sont celles d’utilisation abusive d’une installation de télécommunication et d’acquisition illicite d’une arme à feu, réprimées respectivement par l’art. 179 septies CP et par l’art. 33 al. 1 let. a LArm ad art. 8 al. 1 LArm (Loi sur les armes; RS 514.54). La partie qui entend recourir contre une décision doit avoir un intérêt juridiquement protégé à l'annulation ou à la modification de celle-ci (art. 382 al. 1 CPP). La partie recourante doit démontrer en quoi la décision attaquée viole une règle de droit destinée à protéger ses intérêts et en quoi elle en déduit un droit subjectif (Moreillon/Parein-Reymond, Petit Commentaire du Code de procédure pénale, Bâle 2013, n. 3 ad art. 382 CPP). Le Tribunal fédéral a en particulier eu l'occasion de préciser qu'au regard d'une éventuelle infraction à la LCR (loi fédérale sur la circulation routière; RS 741.01), la personne qui, lors d'un accident de la circulation, a subi un dommage exclusivement matériel n'est pas touchée directement dans ses droits au sens de l'art. 115 al. 1 CPP, les règles de la LCR ne protègent la propriété, respectivement les biens des usagers de la route, que de manière indirecte. Partant, elle n'a pas qualité pour recourir en matière pénale sur la base de l'art. 81 al. 1 let. b ch. 5 LTF (loi du 17 juin 2005 sur le Tribunal fédéral; RS 173.110; cf. ATF 138 IV 258 consid. 2.2 à 2.4, JdT 2013 IV 214, confirmé notamment par TF 6B_399/2012 du 12 novembre 2012). Elle n'a pas non plus qualité pour recourir au sens des art. 393 ss CPP contre une ordonnance de non-entrée en matière (TF 1B_723/2012 du 15 mars 2013 consid. 4; CREP 9 mars 2016/176 consid. 1.2; CREP 23 avril 2014/296 consid. 1.2; CREP 20 juin 2014/423 consid. 1; CREP 17 décembre 2013/809 consid. 1). Les mêmes principes doivent valoir pour la LArm. En effet, cette loi, qui se rattache au droit public, soit administratif, vise à sauvegarder la sécurité publique, même si, de fait, elle préserve aussi des intérêts privés, s’agissant notamment des membres de l’entourage du détenteur d’une arme illicite. Faute d’avoir subi un dommage matériel, la recourante, respectivement ses enfants mineurs, n'est pas touchée directement dans ses droits au sens de l'art. 115 al. 1 CPP par l’acte en cause. Partant, elle n’a pas qualité pour contester contester le classement implicite prononcé en faveur de sa partie adverse, respectivement le refus implicite d’entrer en matière sur sa dénonciation (cf. CREP 16 septembre 2015/610 consid. 2.2 et 2.3). A défaut d’intérêt juridiquement protégé au sens de l’art. 382 CPP dont pourrait se prévaloir la partie, le recours est donc irrecevable en tant qu’il conteste le classement implicite pour violation des dispositions pénales de la LArm. Faute pour la cour de pouvoir entrer en matière, peu importe dès lors que le caractère implicite du classement soit un motif d’annulation (cf. consid. 1.2.1 ci-dessus).</w:t>
      </w:r>
    </w:p>
    <w:p>
      <w:r>
        <w:rPr>
          <w:b/>
        </w:rPr>
        <w:t>E. 1.2.3</w:t>
      </w:r>
    </w:p>
    <w:p>
      <w:r>
        <w:t>Pour ce qui est de l’utilisation abusive d’une installation de télécommunication, le recours est en revanche recevable, la plaignante ayant la qualité pour recourir contre le classement selon l’art. 382 al. 1 CPP.</w:t>
      </w:r>
    </w:p>
    <w:p>
      <w:r>
        <w:rPr>
          <w:b/>
        </w:rPr>
        <w:t>E. 2</w:t>
      </w:r>
    </w:p>
    <w:p>
      <w:r>
        <w:t>CPP). En tant que prononcé de clôture de la procédure, elle contient une introduction, un exposé des motifs, un dispositif et l’indication des voies de droit (art. 81 CPP). Selon la jurisprudence, l’abandon de la poursuite pénale est subordonné au prononcé d’une ordonnance formelle de classement, mentionnant expressément les faits que le ministère public renonce à poursuivre, de manière à en définir clairement et formellement les limites (ATF 138 IV 241 consid. 2.5; TF 6B_690/2014 et 6B_714/2014 du 12 juin 2014 consid. 4.2). A défaut, on se trouve en présence d’un classement implicite, qui doit être annulé (CREP 11 décembre 2014/883; CREP 15 juillet 2013/446). Sous réserve de circonstances particulières, l’annulation doit frapper uniquement la décision implicite elle-même et non pas l’ordonnance attaquée en tant que telle (CREP 20 février 2014/143 consid. 2.2). Enfin, le Ministère public doit rendre deux décisions séparées, s’il y a d’une part une ordonnance pénale et, d’autre part, un classement (ATF 138 V 241 déjà cité).</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w:t>
      </w:r>
    </w:p>
    <w:p>
      <w:r>
        <w:rPr>
          <w:b/>
        </w:rPr>
        <w:t>E. 2.2</w:t>
      </w:r>
    </w:p>
    <w:p>
      <w:r>
        <w:t>L'art. 179 septies CP prévoit que celui qui, par méchanceté ou par espièglerie, aura utilisé abusivement une installation de télécommunication pour inquiéter un tiers ou pour l'importuner sera, sur plainte, puni d'une amende. La notion d'abus est laissée à l'appréciation du juge.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p. 137). Une seule communication peut suffire à réaliser les éléments constitutifs de l’infraction, si, selon les circonstances concrètes, cet appel est de nature à causer une grave inquiétude; en revanche, si l’atteinte à la personnalité est de peu de gravité ou de gravité moyenne, les appels (en l’espèce, téléphoniques) doivent être d’un certain nombre (ATF 126 IV 216 consid. 2a).</w:t>
      </w:r>
    </w:p>
    <w:p>
      <w:r>
        <w:rPr>
          <w:b/>
        </w:rPr>
        <w:t>E. 2.3</w:t>
      </w:r>
    </w:p>
    <w:p>
      <w:r>
        <w:t>Les ex-époux étaient en conflit quant à l’exercice du droit de visite sur les enfants. La recourante avait unilatéralement décidé d’entraver cet exercice, à tout le moins pour la fin de semaine du 23 au 24 mai 2015, respectivement depuis le vendredi 22 mai à 18 heures. L’intimé s’y est opposé. Un échange de SMS s’ensuivit. Le juge n’avait alors décidé d’aucune restriction au droit de visite, celle-ci n’ayant été prononcée que le 2 juin 2015 par la Justice de paix du district de Nyon. La lecture de ces messages ne révèle aucun dessein d’inquiéter ou d'importuner la destinataire des communications, pas plus qu’il n’apparaît que le prévenu ait agi par méchanceté ou espièglerie. La teneur des SMS est en effet limitée aux faits déterminants, même si l’intimé s’est permis des propos relatifs à son état de santé et à ses émotions. Cela n’est toutefois pas outre mesure insolite, s’agissant de parties en relation pour les visites de leurs enfants. La recourante a répondu aux arguments soulevés par l’intimé, confirmant sa position. Le nombre de messages n’apparaît pas davantage pénalement relevant. Au surplus, le caractère incisif de certains autres messages de l’ex-époux n’excède pas la mesure admissible dans une procédure conflictuelle, l’intimé faisant valoir des droits découlant alors du jugement de divorce. Pour le surplus, la réaction de la recourante relevait plutôt d’une sensibilité exagérée. C’est donc à juste titre que la Procureure a classé la procédure quant à l’infraction d’utilisation abusive d’une installation de télécommunication. III. Recours de B.C.________ Le recours interjeté par le prévenu le 3 mars 2016 contre l’ordonnance adressée aux parties pour notification le 18 février 2016 pourrait être tardif et, partant, irrecevable, la partie n’alléguant au demeurant aucun retard dans la distribution postale. Peu importe néanmoins en définitive, au vu de ce qui suit. S’il entendait contester sa condamnation pour violation de domicile, il aurait appartenu au prévenu d’agir par la voie de l’opposition à forme de l’art. 354 CPP. En effet, l’ordonnance pénale ne peut être remise en cause qu’au moyen de l’opposition de l’art. 354 CPP (Gilliéron/Killias, in : Kuhn/Jeanneret [éd.], Commentaire romand, Code de procédure pénale suisse, Bâle 2011, n. 1 ad art. 354 CPP; CREP du 11 mars 2016/140 consid. 1.2). De plus, dans sa forme, l’écriture de B.C.________ semble revêtir la forme d’un recours joint dans la motivation. Or ce type de recours n’est pas prévu dans la phase préliminaire aux débats, contrairement à l’appel (cf. art. 401 CPP). Ainsi, quelque soit la forme de l’acte, le recours est irrecevable. IV. En définitive, le recours de A.C.________ doit être rejeté dans la mesure où il est recevable, sans autre échange d’écritures (art. 390 CPP), et l'ordonnance mixte, soit de classement, du 18 février 2016 confirmée. Pour sa part, le recours de B.C.________ doit être déclaré irrecevable. Les frais de la procédure de recours, constitués en l'espèce du seul émolument d'arrêt, par 1’100 fr. (art. 422 al. 1 CPP et 20 al. 1 TFIP [Tarif des frais de procédure et indemnités en matière pénale du 28 septembre 2010; RSV 312.03.1]), seront mis à la charge des parties, qui succombent l’une comme l’autre (art. 423 al. 1 CPP ). Vu l’ampleur respective des moyens articulés, la recourante supportera les deux tiers des frais et le recourant un tiers. Enfin, le prévenu, qui a obtenu gain de cause sur les conclusions de la plaignante et procédé avec l’assistance d’un avocat de choix, a conclu à l’octroi d’une juste indemnité pour les dépenses occasionnées par l'exercice raisonnable de ses droits de procédure en procédure de recours (art. 429 al. 1 let. a, respectivement 436 al. 2 CPP). Cette conclusion doit être rejetée, dès lors que, le recours de A.C.________ ayant été rejeté dans la mesure où il est recevable, sans autre échange d’écritures (art. 390 CPP), l’intimé n’a pas été invité à procéder sur celui-ci. Partant, même si son mémoire de recours du 3 mars 2016 devait également être tenu pour une détermination spontanée sur le recours, il n’ouvrirait pas le droit à une indemnité de dépens à la charge de la recourante qui succombe. Bien plutôt, une partie qui procède dans de telles conditions ne saurait agir qu’à ses propres frais. Par ces motifs, la Chambre des recours pénale prononce : I. Le recours de A.C.________ est rejeté dans la mesure où il est recevable. II. L’ordonnance du 18 février 2016 est confirmée. III. Le recours de B.C.________ est irrecevable. IV. Les frais d’arrêt, par 1’100 fr. (mille cent francs), sont mis à la charge de la recourante à hauteur des deux tiers, soit de 733 fr. 35 (sept cent trente-trois francs et trente-cinq centimes), et à la charge du recourant à hauteur d’un tiers, soit de 366 fr. 65 (trois cent soixante-six francs et soixante-cinq centimes). V. L’arrêt est exécutoire. Le vice-président : Le greffier : Du Le présent arrêt, dont la rédaction a été approuvée à huis clos, est notifié, par l'envoi d'une copie complète, à : - Me Alain Dubuis, avocat (pour A.C.________), - Me Pascal Rytz, avocat (pour B.C.________),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