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201 vom 22. Februar 2016</w:t>
      </w:r>
    </w:p>
    <w:p>
      <w:r>
        <w:t>VD Tribunal cantonal, 2016-02-22, FR</w:t>
      </w:r>
    </w:p>
    <w:p>
      <w:r>
        <w:rPr>
          <w:b/>
        </w:rPr>
        <w:t xml:space="preserve">Quelle: </w:t>
      </w:r>
      <w:r>
        <w:t>https://mcp.opencaselaw.ch/entscheid/vd_findinfo_D_cision___2016___201</w:t>
      </w:r>
    </w:p>
    <w:p>
      <w:r>
        <w:t>FR: VD_FINDINFO Décision / 2016 / 201 du 22 février 2016</w:t>
      </w:r>
    </w:p>
    <w:p>
      <w:r>
        <w:t>IT: VD_FINDINFO Décision / 2016 / 201 del 22 febbraio 2016</w:t>
      </w:r>
    </w:p>
    <w:p>
      <w:pPr>
        <w:pStyle w:val="Heading2"/>
      </w:pPr>
      <w:r>
        <w:t>Regeste</w:t>
      </w:r>
    </w:p>
    <w:p>
      <w:r>
        <w:t>DÉFENSE NÉCESSAIRE, CAPACITÉ DE DISCERNEMENT, PREUVE ILLICITE | 130 let. c CPP (CH), 131 CPP (CH), 141 al. 5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CREP 9 mars 2015/169 ; CREP 14 juillet 2014/468 ; CREP 7 juillet 2014/454).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déposé en temps utile devant l’autorité compétente par une partie qui a qualité pour recourir au sens de l'art. 382 al. 1 CPP et dans les formes prescrites (art. 385 al. 1 CPP), le recours de V.________ est recevable.</w:t>
      </w:r>
    </w:p>
    <w:p>
      <w:r>
        <w:rPr>
          <w:b/>
        </w:rPr>
        <w:t>E. 2</w:t>
      </w:r>
    </w:p>
    <w:p>
      <w:r>
        <w:t>Le recourant requiert le retranchement des auditions dont il a fait l’objet les 28 et 29 août 2014, en invoquant qu’il aurait dû être assisté d’un défenseur conformément à l’art. 130 let. c CPP.</w:t>
      </w:r>
    </w:p>
    <w:p>
      <w:r>
        <w:rPr>
          <w:b/>
        </w:rPr>
        <w:t>E. 2.1</w:t>
      </w:r>
    </w:p>
    <w:p>
      <w:r>
        <w:t>Selon l’art. 130 let. c CPP, le prévenu doit obligatoirement être pourvu d'un défenseur lorsqu'en raison de son état physique ou psychique ou pour d'autres motifs, il ne peut pas suffisamment défendre ses intérêts dans la procédure et ses représentants légaux ne sont pas en mesure de le faire. Au nombre des incapacités personnelles du prévenu l'empêchant objectivement d'assumer sa défense figurent les troubles mentaux sévères et moins sévères – par exemple addictions à l'alcool ou aux stupéfiants pouvant donner lieu au prononcé d'une mesure –, les handicaps physiques, le jeune âge, ou encore la vieillesse lorsqu'elle s'apparente à un handicap (Harari/Aliberti, in: Kuhn/Jeanneret (éd.), Commentaire romand, Code de procédure pénale suisse, Bâle 2011, n. 30 ad art. 130 CPP). L’empêchement psychique ne suppose pas nécessairement des troubles psychologiques établis par expertise ; il suffit que le prévenu ne saisisse plus le sens général de l’accusation et la représentation des faits (Lieber, in : Donatsch/Hansjakob/Lieber [éd.], Kommentar zur Schweizerischen Strafprozessordnung, 2 e éd., 2014, n. 19 ad. art. 130 CPP).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 ministère public doit ainsi veiller à ce que le prévenu soit assisté d’un avocat à tout le moins au moment où il rend son ordonnance d’ouverture d’instruction au sens de l’art. 309 al. 3 CPP (SJ 2014 I 350 consid. 2.1.2 et les références citées). Les preuves administrées avant qu’un défenseur ait été désigné, alors même que la nécessité d’une défense aurait dû être reconnue, ne sont exploitables qu’à condition que le prévenu renonce à en répéter l’administration (art. 131 al. 3 CPP). Il existe une ambiguïté sur le point de savoir si, par l'expression « première audition » (erste Einvernahme) de l'art. 131 al. 2 CPP, le législateur entendait la première audition effective (soit par la police, soit par le ministère public) ou celle conduite par le ministère public, comme cela apparaît dans le texte légal adopté. Selon la jurisprudence de la Chambre des recours pénale, il y a lieu de considérer que le législateur a souhaité garantir la défense obligatoire dès la première audition, au sens temporel du mot, c'est-à-dire même si celle-ci est menée par la police, mais avant l'ouverture de l'instruction par le ministère public (CREP 10 septembre 2014/662 ; CREP 27 mars 2012/208; CREP 10 novembre 2011/492 et les références citées). Cette conclusion est en accord avec la systématique de la loi qui exige qu'une défense obligatoire soit garantie déjà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(CREP du 27 mars 2012/208 consid. 2b et les références citées). L’inexploitation de la preuve selon l’art. 131 al. 3 CPP a le mérite de permettre au prévenu, s’il estime que ses intérêts n’en seront pas lésés, de « valider » l’acte d’instruction en cause, évitant ainsi la répétition systématique – et par hypothèse inutile – des preuves administrées en l’absence de son défenseur. Si le prévenu choisit d’exercer son droit de voir l’acte d’instruction administré une nouvelle fois en présence de son défenseur, seule cette seconde administration de preuves sera prise en compte et exploitable durant la suite de la procédure. Si le prévenu renonce expressément à en demander la répétition – par exemple lorsque la preuve administrée est neutre à son égard ou est à sa décharge –, la preuve en résultant sera exploitable dans la suite de la procédure (Harari/Aliberti, in: Kuhn/Jeanneret [éd.], op. cit., n. 17 à 19 ad art. 131 CPP). Selon l’art. 141 al. 5 CPP, les pièces relatives aux moyens de preuves non exploitables doivent être retirées du dossier pénal, conservées à part jusqu’à la clôture définitive de la procédure, puis détruites.</w:t>
      </w:r>
    </w:p>
    <w:p>
      <w:r>
        <w:rPr>
          <w:b/>
        </w:rPr>
        <w:t>E. 2.2</w:t>
      </w:r>
    </w:p>
    <w:p>
      <w:r>
        <w:t>En l’espèce, il résulte du rapport d’expertise psychiatrique déposé le 21 août 2015 que le recourant souffre d’un syndrome démentiel d’origine mixte (neurodégénératif, vasculaire et toxique) qui se manifeste au moins depuis 2011, ainsi que d’un probable exhibitionnisme. Les experts ont estimé que sa responsabilité était diminuée de façon importante. S’il était conscient du caractère illicite des actes qui lui étaient reprochés, sa capacité de se déterminer était toutefois fortement restreinte compte tenu du syndrome démentiel dont il souffrait déjà au moment des faits (P. 45 p. 12). Les experts ont également indiqué qu’il était suivi médicalement depuis plusieurs années (P. 45 p. 5-7) et qu’il présentait, outre des problèmes de mémoire, une tendance à la confabulation et à la suggestibilité (P. 45 p. 9). Il ressort en outre du dossier qu’une mesure de curatelle de représentation et de gestion a été instituée en faveur du prévenu en date du 29 août 2014 (P. 28/1). Contrairement à ce qu’a retenu la procureure, la capacité de discernement du prévenu n’était donc pas intacte lorsqu’il a été interpellé le 28 août 2014. Entendu ce jour-là par la police, le prévenu a indiqué qu’il perdait la mémoire. Il n’a notamment pas été en mesure de répondre à des questions relatives à sa situation personnelle comme les prénoms de son épouse décédée et celui de sa mère, soit des questions dont la réponse ne revêtait aucun enjeu particulier. Au cours de cette audition, les policiers ont en outre pris contact avec le CHUV et ont appris que le prévenu devait suivre un traitement médicamenteux. Le lendemain, devant la procureure, V.________ a expliqué qu’il souffrait de la maladie d’Alzheimer depuis plus d’une année et que cela s’amplifiait. Ces éléments ajoutés à l’âge avancé du recourant (81 ans au moment des faits) et à la gravité des infractions qui lui étaient reprochées auraient dû conduire les policiers et la procureure à constater que le recourant présentait les signes d’une incapacité de discernement et à ne pas procéder à son audition, respectivement à ne pas la poursuivre, tant qu’il n’était pas pourvu d'un avocat. Ainsi, force est de constater qu’un cas de défense obligatoire était reconnaissable dès la première audition du recourant. On relèvera à cet égard que la procureure a désigné un défenseur d’office au prévenu le 4 septembre 2014, soit moins d’une semaine après l’avoir entendu, sur la base précisément de l’art. 130 let. c CPP. Elle a par ailleurs informé le même jour la Justice de paix de l’ouverture d’une procédure pénale contre le prévenu en application de l’art. 75 al. 2 CPP, en indiquant entre autres que le prévenu était apparu diminué physiquement et qu’il avait indiqué qu’il souffrait de la maladie d’Alzheimer (P.10). Au vu de ce qui précède, les procès-verbaux d'audition du prévenu des 28 et 29 août 2014 ne sont pas exploitables. Le recourant ayant expressément requis d’être à nouveau entendu, ces procès-verbaux doivent être retirés du dossier pénal et ce, quand bien même le médecin responsable de l’EMS où le prévenu réside désormais considère que V.________ ne peut pas être réentendu par la justice, dès lors qu’il ne dispose plus de sa capacité de discernement (P. 56/1). Ces procès-verbaux seront conservés à part jusqu’à la clôture définitive de la procédure, puis détruits, conformément à l’art. 141 al. 5 CPP.</w:t>
      </w:r>
    </w:p>
    <w:p>
      <w:r>
        <w:rPr>
          <w:b/>
        </w:rPr>
        <w:t>E. 3</w:t>
      </w:r>
    </w:p>
    <w:p>
      <w:r>
        <w:t>En définitive, le recours, bien fondé, doit être admis et l’ordonnance du Ministère public de l'arrondissement de Lausanne du 11 décembre 2015 réformée dans le sens des considérants qui précèdent.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à 583 fr. 20 au total, seront laissés à la charge de l'Etat (art. 423 al. 1 CPP). Par ces motifs, la Chambre des recours pénale prononce : I. Le recours est admis. II. L’ordonnance du 11 décembre 2015 est réformée en ce sens que les procès-verbaux d’audition de V.________ des 28 et 29 août 2014 sont retranchés du dossier, conservés à part jusqu’à la clôture définitive de la procédure, puis seront détruits. III. L’indemnité allouée au défenseur d’office de V.________ est fixée à 583 fr. 20 (cinq cent huitante-trois francs et vingt centimes). IV. Les frais de la procédure de recours, par 770 fr. (sept cent septante francs), ainsi que l’indemnité due au défenseur d’office, par 583 fr. 20 (cinq cent huitante-trois francs et vingt centimes), sont laissés à la charge de l’Etat. V. Le présent arrêt est exécutoire. Le président :               La greffière : Du Le présent arrêt, dont la rédaction a été approuvée à huis clos, est notifié, par l'envoi d'une copie complète, à : - Me Laurent Maire, avocat (pour V.________), - Me Coralie Devaud, avocate (pour [...]), - Ministère public central, et communiqué à : - Mme la Procureure de l’arrondissement de Lausanne, - Mme [...], - Mme [...],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