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200 vom 21. März 2016</w:t>
      </w:r>
    </w:p>
    <w:p>
      <w:r>
        <w:t>VD Tribunal cantonal, 2016-03-21, FR</w:t>
      </w:r>
    </w:p>
    <w:p>
      <w:r>
        <w:rPr>
          <w:b/>
        </w:rPr>
        <w:t xml:space="preserve">Quelle: </w:t>
      </w:r>
      <w:r>
        <w:t>https://mcp.opencaselaw.ch/entscheid/vd_findinfo_D_cision___2016___200</w:t>
      </w:r>
    </w:p>
    <w:p>
      <w:r>
        <w:t>FR: VD_FINDINFO Décision / 2016 / 200 du 21 mars 2016</w:t>
      </w:r>
    </w:p>
    <w:p>
      <w:r>
        <w:t>IT: VD_FINDINFO Décision / 2016 / 200 del 21 marzo 2016</w:t>
      </w:r>
    </w:p>
    <w:p>
      <w:pPr>
        <w:pStyle w:val="Heading2"/>
      </w:pPr>
      <w:r>
        <w:t>Regeste</w:t>
      </w:r>
    </w:p>
    <w:p>
      <w:r>
        <w:t>ESCROQUERIE, NON-LIEU | 146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 qui signifie qu'en principe, un classement ou une non-entrée en matière ne peuvent être prononcés par le ministère public que lorsqu'il apparaît clairement que les faits ne sont pas punissables ou que les conditions à la poursuite pénale ne sont pas remplies (ATF 138 IV 86 consid. 4.1.2; ATF 138 IV 186 consid. 4.1; ATF 137 IV 285 consid. 2.5).</w:t>
      </w:r>
    </w:p>
    <w:p>
      <w:r>
        <w:rPr>
          <w:b/>
        </w:rPr>
        <w:t>E. 3.1</w:t>
      </w:r>
    </w:p>
    <w:p>
      <w:r>
        <w:t>Le recourant fait grief à J.________ de l’avoir sciemment trompé en affirmant faussement que la vidange de la boîte de vitesses automatique du véhicule d’occasion [...], acquis pour le prix de 4'200 fr., avait été faite et la « crépine effectuée ». Il a précisé que le vendeur, à qui il avait demandé une facture, n’avait pas pu la lui remettre, alléguant qu’elle avait été égarée. Le vendeur n’aurait pas non plus été en mesure de lui indiquer le garage où les travaux auraient été effectués.</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w:t>
      </w:r>
    </w:p>
    <w:p>
      <w:r>
        <w:rPr>
          <w:b/>
        </w:rPr>
        <w:t>E. 3.3</w:t>
      </w:r>
    </w:p>
    <w:p>
      <w:r>
        <w:t>En l’espèce, le recourant ne produit aucune pièce relative à la transaction litigieuse (quittance, contrat etc.) ; il n’a pas non plus fourni d’indication relative à l’année de mise en circulation du véhicule et à son kilométrage. On peut toutefois déduire du prix de vente de 4'200 fr. que le véhicule [...] acquis par le recourant était déjà ancien et affichait un certain nombre de kilomètres au compteur. Le recourant ne pouvait ainsi pas espérer acheter un véhicule en parfait état de marche (cf. TACC, 10 mars 2004/231) ou à tout le moins aurait dû se montrer plus prudent à ce sujet. L’intéressé admet n’avoir procédé à aucun contrôle, faisant confiance, faute de justificatifs, aux affirmations verbales du vendeur. Or il appartient à l’acheteur d’un véhicule d’occasion d’en vérifier attentivement l’état ou de le faire vérifier par un tiers, s’il ne bénéficie pas de connaissances suffisantes en la matière (TACC 12 avril 2007/257 ; TACC 28 décembre 2004/803). Au surplus, le recourant n’allègue pas que le vendeur l’aurait dissuadé de procéder à toutes vérifications utiles quant à l’état du véhicule. L’astuce – élément caractéristique de l’escroquerie – fait ainsi manifestement défaut. Cette infraction pouvant être écartée d’emblée avec certitude, c’est à juste titre que le Ministère public a rendu une ordonnance de non-entrée en matière.</w:t>
      </w:r>
    </w:p>
    <w:p>
      <w:r>
        <w:rPr>
          <w:b/>
        </w:rPr>
        <w:t>E. 4</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Ils seront compensés avec le montant de 550 fr. déjà versé à titre de sûretés. Par ces motifs, la Chambre des recours pénale prononce : I. Le recours est rejeté. II. L’ordonnance du 19 janvier 2016 est confirmée. III. Les frais d’arrêt, par 550 fr. (cinq cent cinquante francs), sont mis à la charge de R.________. IV. Les frais mis à la charge du recourant au chiffre III ci-dessus sont compensés avec le montant de 550 fr. (cinq cent cinquante francs) déjà versé par celui-ci à titre de sûretés. V. L’arrêt est exécutoire. Le président :               Le greffier : Du Le présent arrêt, dont la rédaction a été approuvée à huis clos, est notifié, par l'envoi d'une copie complète, à : - M.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