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20 vom 7. Januar 2016</w:t>
      </w:r>
    </w:p>
    <w:p>
      <w:r>
        <w:t>VD Tribunal cantonal, 2016-01-07, FR</w:t>
      </w:r>
    </w:p>
    <w:p>
      <w:r>
        <w:rPr>
          <w:b/>
        </w:rPr>
        <w:t xml:space="preserve">Quelle: </w:t>
      </w:r>
      <w:r>
        <w:t>https://mcp.opencaselaw.ch/entscheid/vd_findinfo_D_cision___2016___20</w:t>
      </w:r>
    </w:p>
    <w:p>
      <w:r>
        <w:t>FR: VD_FINDINFO Décision / 2016 / 20 du 7 janvier 2016</w:t>
      </w:r>
    </w:p>
    <w:p>
      <w:r>
        <w:t>IT: VD_FINDINFO Décision / 2016 / 20 del 7 gennaio 2016</w:t>
      </w:r>
    </w:p>
    <w:p>
      <w:pPr>
        <w:pStyle w:val="Heading2"/>
      </w:pPr>
      <w:r>
        <w:t>Regeste</w:t>
      </w:r>
    </w:p>
    <w:p>
      <w:r>
        <w:t>AVOCAT D'OFFICE, CHOIX DU DÉFENSEUR | 134 al. 2 CPP (CH)</w:t>
      </w:r>
    </w:p>
    <w:p>
      <w:pPr>
        <w:pStyle w:val="Heading2"/>
      </w:pPr>
      <w:r>
        <w:t>Erwägungen</w:t>
      </w:r>
    </w:p>
    <w:p>
      <w:r>
        <w:rPr>
          <w:b/>
        </w:rPr>
        <w:t>E. 1</w:t>
      </w:r>
    </w:p>
    <w:p>
      <w:r>
        <w:t>Interjeté en temps utile (art. 396 CPP [Code de procédure pénale suisse du 5 octobre 2007; RS 312.0]) contre une décision du Ministère public en matière de révocation et de remplacement du défenseur d'office (CREP 7 juillet 2015/460; CREP 15 février 2013/68; CREP 6 septembre 2012/639; CREP 22 juin 2012/335; Harari/Aliberti, in : Kuhn/Jeanneret (éd.), Commentaire romand, Code de procédure pénale suisse, Bâle 2011, n. 25 ad art. 134 CPP), par le prévenu, qui a qualité pour recourir (art. 382 CPP; Ruckstuhl, in : Niggli/Heer/Wiprächtiger (éd.), Basler Kommentar, Schweizerische Strafprozessordnung, Jugendstrafprozessordnung,</w:t>
      </w:r>
    </w:p>
    <w:p>
      <w:r>
        <w:rPr>
          <w:b/>
        </w:rPr>
        <w:t>E. 2</w:t>
      </w:r>
    </w:p>
    <w:p>
      <w:r>
        <w:t>A l’appui de son recours, I.________ invoque « la raison du bon sens », à savoir que l’avocat J.________ aurait suivi ab ovo les plaintes de la partie plaignante K.________, alors que l’avocat Georges Reymond n’aurait pu « goûter que le parcours écoulé depuis août ( recte : avril) 2012 »; il soutient qu’il y aurait ainsi de bons motifs économiques pour que sa défense soit assurée par Me J.________.</w:t>
      </w:r>
    </w:p>
    <w:p>
      <w:r>
        <w:rPr>
          <w:b/>
        </w:rPr>
        <w:t>E. 2.1</w:t>
      </w:r>
    </w:p>
    <w:p>
      <w:r>
        <w:t>En vertu de l’art. 134 al. 2 CPP, si la relation de confiance entre le prévenu et le défenseur d’office est gravement perturbée ou si une défense efficace n’est plus assurée pour d’autres raisons, la direction de la procédure confie la défense d’office à une autre personne. En prévoyant que la relation de confiance doit être « gravement perturbée », l'art. 134 al. 2 CPP va plus loin que la jurisprudence du Tribunal fédéral en la matière qui considérait jusqu'ici qu'un changement de défenseur d'office devait se fonder sur des motifs objectifs démontrant que la défense fournie était inefficace, et non seulement sur une perte de confiance due à des motifs purement subjectifs sans qu'il apparaisse de façon manifeste que le comportement du défenseur d'office était préjudiciable aux intérêts du prévenu (Harari/Aliberti, op. cit., n. 15 ad art. 134 CPP; Ruckstuhl, op. cit., n. 8 ad art. 134 CPP). L'art. 134 al. 2 CPP tient compte du fait que l’efficacité et l’engagement de la défense peuvent être mises en péril non seulement lorsque le défenseur viole objectivement les devoirs de sa charge, mais également dès que la relation de confiance entre le prévenu et le défenseur d’office est gravement perturbée (Message du Conseil fédéral relatif à l’unification du droit de la procédure pénale, FF 2006, p. 1159). Toutefois,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soit gravement préjudiciable aux intérêts de la partie (ATF 138 IV 161 consid. 2.4).</w:t>
      </w:r>
    </w:p>
    <w:p>
      <w:r>
        <w:rPr>
          <w:b/>
        </w:rPr>
        <w:t>E. 2.2</w:t>
      </w:r>
    </w:p>
    <w:p>
      <w:r>
        <w:t>En l’espèce, l’argumentation du recourant ne saurait être suivie. En effet, ce dernier, qui ne prétend pas que la relation de confiance entre lui et son défenseur d’office serait gravement perturbée ou qu’une défense efficace ne serait plus assurée pour d’autres raisons, n’invoque aucun motif entrant dans les prévisions de l’art. 134 al. 2 CPP. Au surplus, il est douteux que Me J.________ soit à même de traiter mieux le dossier ou de manière plus économique, dès lors qu’il a été le défenseur d’office du recourant entre août 2011 et avril 2012, tandis que Me Reymond agit en cette qualité depuis avril 2012, soit depuis bientôt quatre ans, et a donc nécessairement une connaissance plus étendue et plus actuelle du dossier. C’est donc à bon droit que le procureur a refusé de remplacer le défenseur d’office désigné au prévenu.</w:t>
      </w:r>
    </w:p>
    <w:p>
      <w:r>
        <w:rPr>
          <w:b/>
        </w:rPr>
        <w:t>E. 3</w:t>
      </w:r>
    </w:p>
    <w:p>
      <w:r>
        <w:t>Sur le vu de ce qui précède, le recours doit être rejeté sans autres échanges d’écritures (art. 390 al. 2 CPP) et l’ordonnance attaquée confirmée. Les frais de la procédure de recours, constitués en l’espèce de l'émolument d'arrêt (art. 422 al. 1 CPP), par 550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16 décembre 2015 est confirmée. III. Les frais d’arrêt, par 550 fr. (cinq cent cinquante francs), sont mis à la charge de I.________. IV. Le présent arrêt est exécutoire. Le président :               La greffière : Du Le présent arrêt, dont la rédaction a été approuvée à huis clos, est notifié, par l'envoi d'une copie complète, à : - Me Georges Reymond, avocat (pour I.________), - Ministère public central, et communiqué à : - M. le Procureur du Ministère public central, division criminalité économique et entraide judiciaire,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