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193 vom 1. März 2016</w:t>
      </w:r>
    </w:p>
    <w:p>
      <w:r>
        <w:t>VD Tribunal cantonal, 2016-03-01, FR</w:t>
      </w:r>
    </w:p>
    <w:p>
      <w:r>
        <w:rPr>
          <w:b/>
        </w:rPr>
        <w:t xml:space="preserve">Quelle: </w:t>
      </w:r>
      <w:r>
        <w:t>https://mcp.opencaselaw.ch/entscheid/vd_findinfo_D_cision___2016___193</w:t>
      </w:r>
    </w:p>
    <w:p>
      <w:r>
        <w:t>FR: VD_FINDINFO Décision / 2016 / 193 du 1 mars 2016</w:t>
      </w:r>
    </w:p>
    <w:p>
      <w:r>
        <w:t>IT: VD_FINDINFO Décision / 2016 / 193 del 1 marzo 2016</w:t>
      </w:r>
    </w:p>
    <w:p>
      <w:pPr>
        <w:pStyle w:val="Heading2"/>
      </w:pPr>
      <w:r>
        <w:t>Regeste</w:t>
      </w:r>
    </w:p>
    <w:p>
      <w:r>
        <w:t>CLASSEMENT DE LA PROCÉDURE, TÉMOIN ANONYME, IN DUBIO PRO DURIORE | 149 CPP (CH), 319 CPP (CH), 395 let. a CPP (CH)</w:t>
      </w:r>
    </w:p>
    <w:p>
      <w:pPr>
        <w:pStyle w:val="Heading2"/>
      </w:pPr>
      <w:r>
        <w:t>Erwägungen</w:t>
      </w:r>
    </w:p>
    <w:p>
      <w:r>
        <w:rPr>
          <w:b/>
        </w:rPr>
        <w:t>E. 18</w:t>
      </w:r>
    </w:p>
    <w:p>
      <w:r>
        <w:t>janvier 2016, X.________ a fait recours contre cette ordonnance, concluant, sous suite de frais et dépens, à son annulation, à l’audition d’un nouveau témoin sous le couvert de l’anonymat, au renvoi de la cause au Ministère public « afin qu’une instruction soit ré-ouverte dans la cause PE14.014075-DMT » et à ce que « toute opposition ou toute autre conclusion soit déboutée ». En droit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 RSV 312.01]; art. 80 LOJV [loi vaudoise du 12 décembre 1979 d’organisation judiciaire; RSV 173.01]). En l'espèce, interjeté en temps utile, devant l’autorité compétente, par la partie plaignante qui a qualité pour recourir (art. 382 al. 1 CPP) et satisfaisant aux conditions de forme prescrites (art. 385 al. 1 CPP), le recours est recevable. 1.2 L’art. 395 let. a CPP prévoit que si l’autorité de recours est un tribunal collégial – ce qui est le cas de la Chambre des recours pénale, laquelle statue à trois juges (art. 67 al. 1 let. 1 LOJV; art. 12 al. 1 ROTC [règlement organique du Tribunal cantonal ; RSV 173.31.1]) –, sa direction de la procédure statue seule sur le recours lorsqu’il porte exclusivement sur des contraventions. Tel étant le cas en l’espèce, un juge de la Chambre des recours pénale est compétent pour statuer en tant que juge unique (art. 13 al. 2 LVCPP; cf. Juge unique CREP du 11 février 2013/199 et les références citées). 2. En premier lieu, le recourant conteste le classement de la procédure.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 CREP 11 avril 2014/280 consid. 2a et les références citées). 2.2 En l’espèce, au terme d’une instruction que l’on peut qualifier de fouillée compte tenu de l’infraction en cause (voies de fait), il apparaît qu’aucun élément au dossier ne vient accréditer la version du plaignant selon laquelle il aurait reçu un coup de la part de Y.________. En effet, si les témoins ont confirmé la réalité de l’altercation survenue le 29 mai 2014 entre X.________ et Y.________, durant laquelle les protagonistes ont manifestement gesticulé, aucun des cinq témoins n’a fait état de coup, alors que seul ce comportement apparaîtrait en l’espèce pénalement répréhensible. On ne voit pas quelle mesure d’instruction complémentaire pourrait être ordonnée pour accréditer la version du recourant. En l’absence de preuves, une condamnation paraît exclue avec une vraisemblance confinant à la certitude et le principe in dubio pro duriore ne s’applique pas (cf. consid. 2.1 ci-dessus). Le classement de la procédure prononcé par le Ministère public est donc justifié et le recours doit être rejeté sur ce point. 3. En second lieu, le recourant allègue qu’une nouvelle altercation l’opposant à Y.________ aurait eu lieu le 8 janvier 2016. Un nouveau témoin se serait fait connaître à cette occasion et aurait indiqué qu’il avait également été témoin des événements du 29 mai 2014. Ce témoin accepterait d’être entendu dans le cadre de la présente procédure pour autant que ses coordonnées ne soient pas divulguées au prévenu. 3.1 Tout d’abord, on relèvera que les éventuelles infractions qui auraient été commises lors de l’altercation du 8 janvier 2016 ne sauraient être traitées dans le cadre de la présente procédure. Si le recourant souhaite l’ouverture d’une instruction pour ce motif, ces faits devront faire l’objet d’une nouvelle plainte pénale. 3.2 S’agissant de la garantie d’anonymat que le recourant requiert à l’égard du témoin nouveau dont il se prévaut, il y a lieu de relever qu’une telle mesure de protection n’est envisageable que lorsque le témoin est exposé à un danger sérieux menaçant sa vie ou son intégrité corporelle ou à un autre inconvénient grave (art. 149 CPP). A cet égard, le Tribunal fédéral a rappelé qu’une telle mesure n’entrait en ligne de compte que comme ultima ratio face à des dangers graves telles qu’une atteinte à la vie ou à des biens, comme par exemple l’explosion d’une maison de vacances (ATF 139 IV 265, JdT 2013 IV 177 cons. 4.2 et les références citées ; ATF 138 IV  178, JdT 2013 IV 91). En l’espèce, on ne saurait sérieusement soutenir que le témoignage dont il est question exposerait la vie du témoin ou encore ses biens à une atteinte tellement grave qu’elle justifierait la mise en place d’une telle protection. On rappellera en particulier que les infractions susceptibles d’entrer en ligne de compte dans le cadre de la présente procédure ne constitueraient, au pire, que de simples voies de fait dans le cadre d’un conflit de voisinage. Enfin, le recourant ne mentionne pas le nom du témoin nouveau dont il se prévaut, ne serait-ce sous le couvert d’une demande de restriction d’accès au dossier (art. 101 CPP), de sorte que l’on ignore le sérieux dudit témoin et son lien avec l’affaire. On ne peut dès lors pas retenir à ce stade que ce nouveau témoignage serait réellement susceptible d’influer sur la décision du Ministère public. Infondée, la requête du recourant doit donc être écartée. 4. Il résulte de ce qui précède que le recours, manifestement mal fondé, doit être rejeté sans autres échanges d’écritures (art. 390 al. 2 CPP), et l'ordonnance de classement du 6 janvier 2016 confirmée. Les frais de la procédure de recours, constitués en l’espèce du seul émolument d’arrêt (art. 422 al. 1 CPP), par 630 fr. (art. 20 al. 1 TFIP [tarif des frais de procédure et indemnités en matière pénale du 28 septembre 2010; RSV 312.03.1]), seront mis à la charge du recourant, qui succombe (art. 428 al. 1 CPP). Par ces motifs, le juge unique prononce : I. Le recours est rejeté. II. L’ordonnance du 6 janvier 2016 est confirmée. III. Les frais du présent arrêt, par 630 fr. (six cent trente francs), sont mis à la charge de X.________. IV. Le présent arrêt est exécutoire. Le juge unique :               La greffière : Du Le présent arrêt, dont la rédaction a été approuvée à huis clos, est notifié, par l'envoi d'une copie complète, à : - Me Sylvie Saint-Marc, avocate (pour X.________), - M.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