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192 vom 25. Februar 2016</w:t>
      </w:r>
    </w:p>
    <w:p>
      <w:r>
        <w:t>VD Tribunal cantonal, 2016-02-25, FR</w:t>
      </w:r>
    </w:p>
    <w:p>
      <w:r>
        <w:rPr>
          <w:b/>
        </w:rPr>
        <w:t xml:space="preserve">Quelle: </w:t>
      </w:r>
      <w:r>
        <w:t>https://mcp.opencaselaw.ch/entscheid/vd_findinfo_D_cision___2016___192</w:t>
      </w:r>
    </w:p>
    <w:p>
      <w:r>
        <w:t>FR: VD_FINDINFO Décision / 2016 / 192 du 25 février 2016</w:t>
      </w:r>
    </w:p>
    <w:p>
      <w:r>
        <w:t>IT: VD_FINDINFO Décision / 2016 / 192 del 25 febbraio 2016</w:t>
      </w:r>
    </w:p>
    <w:p>
      <w:pPr>
        <w:pStyle w:val="Heading2"/>
      </w:pPr>
      <w:r>
        <w:t>Regeste</w:t>
      </w:r>
    </w:p>
    <w:p>
      <w:r>
        <w:t>ESCROQUERIE, CONDUITE DU PROCÈS, ENQUÊTE PÉNALE, MESURE D'INSTRUCTION{ASSURANCE SOCIALE} | 146 al. 1 CP, 397 al. 3 CPP (CH)</w:t>
      </w:r>
    </w:p>
    <w:p>
      <w:pPr>
        <w:pStyle w:val="Heading2"/>
      </w:pPr>
      <w:r>
        <w:t>Erwägungen</w:t>
      </w:r>
    </w:p>
    <w:p>
      <w:r>
        <w:rPr>
          <w:b/>
        </w:rPr>
        <w:t>E. 1</w:t>
      </w:r>
    </w:p>
    <w:p>
      <w:r>
        <w:t>Les parties peuvent attaquer une ordonnance de classement rendue par le ministère public en application des art. 319 ss CPP. Une décision du ministère public refusant de retrancher des pièces du dossier est également susceptible de recours selon les art. 393 ss CPP (Stephenson/Thiriet, in : Niggli/Heer/Wiprächtiger [éd.], Basler Kommentar, Schweizerische Strafprozessordnung, Jugendstrafprozessordnung, Bâle 2014,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devant l’autorité de recours (art. 322 al. 2 et 396 al. 1 CPP). Interjeté dans le délai légal auprès de l’autorité compétente par la partie plaignante qui a la qualité pour recourir (cf. art. 382 al. 1 CPP), le recours est recevable.</w:t>
      </w:r>
    </w:p>
    <w:p>
      <w:r>
        <w:rPr>
          <w:b/>
        </w:rPr>
        <w:t>E. 2.1</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6B_22/2011 du 23 mai 2011 consid. 2.1.1; ATF 133 IV 256 consid. 4.4.3; ATF 128 IV 18 consid. 3a; cf. ég. ATF 120 IV 122 consid. 6a).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(ATF 128 IV 18 consid. 3a).</w:t>
      </w:r>
    </w:p>
    <w:p>
      <w:r>
        <w:rPr>
          <w:b/>
        </w:rPr>
        <w:t>E. 2.2</w:t>
      </w:r>
    </w:p>
    <w:p>
      <w:r>
        <w:t>S'agissant de l'implication d'I.________ dans cette affaire, l'appréciation faite par le Procureur ne prête pas le flanc à la critique et doit être confirmée. La société P.________ AG s'était engagée à financer le matériel informatique nécessaire pour le logiciel K.________ ainsi qu'à l'installer chez V.________ et il n'est pas contesté qu'elle a dûment exécuté sa prestation. En outre, il n'a pas été établi que P.________ AG ait agi de concert avec la société G.________ dans le but de porter préjudice à V.________ ou qu'elle ait perçu une quelconque commission lors de la conclusion de contrats avec des clients de G.________. Enfin, les déclarations d'I.________ selon lesquelles il aurait pris toutes les précautions qu'on pouvait attendre de lui avant de faire affaire avec G.________ sont crédibles et doivent être retenues (PV aud. 2).</w:t>
      </w:r>
    </w:p>
    <w:p>
      <w:r>
        <w:rPr>
          <w:b/>
        </w:rPr>
        <w:t>E. 2.3</w:t>
      </w:r>
    </w:p>
    <w:p>
      <w:r>
        <w:t>S'agissant de l'implication de W.________ pour G.________, certains éléments du dossier sont pour le moins surprenants et donnent des indices qui vont dans le sens d'une possible escroquerie. Tout d'abord, la convention de "Partenariat statut EXPERT" du 29 novembre 2011 prévoyait qu'en cas de déficit, G.________ s'engageait à compenser la perte de V.________ (P. 5/7). A ce propos, lors de l'audience du 11 juin 2015, V.________ a confirmé qu'il avait été démarché par une représentante de G.________, R.________, et que celle-ci lui avait assuré qu'il ne risquait rien en signant le contrat proposé. Le vétérinaire a expliqué : " J'étais réellement convaincu de ne courir aucun risque et la garantie de remboursement de G.________ m'a incité à croire que ce concept était réellement rentable " (PV aud 1, p. 3, l. 101-102). Pourtant, le recourant a rendu vraisemblable que malgré plusieurs interpellations, G.________ ne l'a jamais dédommagé pour sa perte. A ce propos, il a déclaré : " N'ayant pas pu rentabiliser ce système j'ai transmis à G.________ mes factures trimestrielles de location de l'installation. En réaction, j'ai eu des appels car on voulait me rencontrer tout en me disant que s'il fallait payer les factures de chaque client ce n'était pas possible, leur société n'ayant pas la capacité financière " (PV aud 1, p. 2, l. 35-37). Cette garantie de remboursement a été confirmée dans un courrier du directeur de G.________ adressé au recourant : " G.________ a décidé d'apporter à certains d'entre eux [clients] une garantie ultime, dite Garantie de rentabilité. Celle-ci a pour but de compenser une éventuelle différence négative entre les recettes et les dépenses liées au partenariat G.________ au sens large, la contrepartie évidente de cette garantie étant l'implication totale du partenaire dans ce partenariat, attestée par l'exploitation de toutes les pistes de rentabilisation et le respect de l'ensemble des clauses du contrat et des conventions signées " (P. 17/4/10). De plus, G.________ promouvait principalement un système où le service après-vente était un élément essentiel du concept. Or il ressort clairement des pièces du dossier que V.________ ainsi que de nombreux acquéreurs du système K.________ se sont plaints de l'absence de maintenance alors qu'ils étaient face à des défaillances techniques à répétition du système. A cet égard, V.________ a produit de nombreux courriels de vétérinaires français consternés par les nombreux dysfonctionnements du système K.________ et ayant eu l'impression de s'être fait tromper (P. 5/26). En outre, en date du 4 avril 2014, le Tribunal de Commerce de Versailles a prononcé la résolution du contrat de prestation de services et de matériel signé entre G.________ et le vétérinaire [...] et a notamment relevé les défaillances de l'ensemble fourni, défaillances n'ayant pas permis au praticien d'exploiter normalement le système qu'il louait (P. 14). Au vu de ces éléments, il semble que la société G.________ promettait des garanties de remboursement en cas de déficit ainsi qu'un service de maintenance accru afin de conclure des contrats avec des vétérinaires, mais qu'une fois ceux-ci signés, la société ne fournissait pas les prestations promises et se désintéressait des acquéreurs du système K.________. D'ailleurs, W.________ a lui-même admis : " Ce docteur [V.________ ] a peut-être été influencé par un discours commercial trop efficace, a cru en des bénéfices rapides et faciles, pour ensuite déchanter et se sentir lésé " (P. 20). Enfin d'autres éléments tels que le fait que le plaignant ait dû conclure deux contrats avec deux entreprises différentes pour pouvoir acquérir le système K.________, rendant les réclamations plus compliquées, ou l'absence d'explication quant à la destination des fonds, qui ne semblent pas avoir été investis dans G.________, ne manquent pas d'interpeller. A ce stade, force est de constater que l'instruction est lacunaire et qu'il se justifie d'entendre la dénommée R.________ afin qu'elle fournisse de plus amples explications sur les garanties promises à V.________ le 29 novembre 2011 et de déterminer si la société G.________ a eu recours à un édifice de mensonges ou à une mise en scène bien établie dans le but de conclure le contrat alors qu'elle savait qu'elle ne fournirait pas sa part des prestations.</w:t>
      </w:r>
    </w:p>
    <w:p>
      <w:r>
        <w:rPr>
          <w:b/>
        </w:rPr>
        <w:t>E. 3</w:t>
      </w:r>
    </w:p>
    <w:p>
      <w:r>
        <w:t>Sur le vu de ce qui précède, le recours doit être partiellement admis en ce sens que l'ordonnance du 30 novembre 2015 est confirmée en tant qu'elle classe la procédure dirigée contre I.________, mais est annulée en tant qu'elle classe la procédure dirigée contre W.________. Le dossier de la cause doit être renvoyé au Ministère public pour complément d'instruction dans le sens des considérants (art. 397 al. 4 CPP). Les frais de la procédure de recours, constitués en l’espèce du seul émolument d’arrêt (art. 422 al. 1 CPP), par 880 fr. (art. 20 al. 1 TFIP [tarif des frais de procédure et indemnités en matière pénal ; RSV 312.03.1]), seront laissés à la charge de l’Etat (art. 428 al. 4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partiellement admis. II. L'ordonnance du 30 novembre 2015 est annulée en tant qu'elle classe la procédure dirigée contre W.________ pour escroquerie. III. L'ordonnance du 30 novembre 2015 est confirmée en tant qu'elle classe la procédure dirigée contre I.________ pour escroquerie. IV. Le dossier de la cause est renvoyé au Ministère public de l'Est vaudois pour complément d'instruction au sens des considérants. V. Les frais d’arrêt, par 880 fr. (huit cent huitante francs), sont laissés à la charge de l’Etat. VI. Le présent arrêt est exécutoire. Le président :               La greffière : Du Le présent arrêt, dont la rédaction a été approuvée à huis clos, est notifié, par l'envoi d'une copie complète, à : - Me Marc-Olivier Buffat, avocat (pour V.________ - W.________, - Me Valentin Schumacher, avocat (pour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