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190 vom 18. März 2016</w:t>
      </w:r>
    </w:p>
    <w:p>
      <w:r>
        <w:t>VD Tribunal cantonal, 2016-03-18, FR</w:t>
      </w:r>
    </w:p>
    <w:p>
      <w:r>
        <w:rPr>
          <w:b/>
        </w:rPr>
        <w:t xml:space="preserve">Quelle: </w:t>
      </w:r>
      <w:r>
        <w:t>https://mcp.opencaselaw.ch/entscheid/vd_findinfo_D_cision___2016___190</w:t>
      </w:r>
    </w:p>
    <w:p>
      <w:r>
        <w:t>FR: VD_FINDINFO Décision / 2016 / 190 du 18 mars 2016</w:t>
      </w:r>
    </w:p>
    <w:p>
      <w:r>
        <w:t>IT: VD_FINDINFO Décision / 2016 / 190 del 18 marzo 2016</w:t>
      </w:r>
    </w:p>
    <w:p>
      <w:pPr>
        <w:pStyle w:val="Heading2"/>
      </w:pPr>
      <w:r>
        <w:t>Regeste</w:t>
      </w:r>
    </w:p>
    <w:p>
      <w:r>
        <w:t>LIBÉRATION CONDITIONNELLE, REJET DE LA DEMANDE, PRONOSTIC | 86 al. 1 CP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par le condamné qui a qualité pour recourir au sens de l’art. 382 al. 1 CPP et transmis à l’autorité compétente (art. 91 al. 4, 2 e phrase CPP). Répondant de manière suffisante aux exigences de forme et de motivation posées par l’art. 385 al. 1 CPP, il est recevable, de sorte qu’il y a lieu d’entrer en matière.</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2.2</w:t>
      </w:r>
    </w:p>
    <w:p>
      <w:r>
        <w:t>En l'espèce, la condition objective des deux tiers de la peine prévue par l'art. 86 al. 1 CP sera réalisée à compter du 17 avril 2016. La condition du bon comportement du recourant en détention doit également être considérée comme réalisée. Seule est donc litigieuse la question relative au pronostic.</w:t>
      </w:r>
    </w:p>
    <w:p>
      <w:r>
        <w:rPr>
          <w:b/>
        </w:rPr>
        <w:t>E. 2.3</w:t>
      </w:r>
    </w:p>
    <w:p>
      <w:r>
        <w:t>A cet égard, l’argumentation du premier juge est convaincante et son appréciation, à laquelle se réfère intégralement la Cour de céans, ne prête pas le flanc à la critique. En effet, le degré d’introspection de K.________ n’est pas suffisant pour espérer un changement de comportement. Les propos tenus par ce dernier lors de son audition du 2 mars 2016 témoignent en outre d’une absence totale d’amendement, notamment lorsqu’il déclare qu’il « n’a pas fait des bêtises comme des gens qui font des actes graves ». A cela s’ajoute que l’intéressé est un multirécidiviste qui, malgré de nombreuses condamnations, principalement pour des infractions contre le patrimoine, la Loi fédérale sur les stupéfiants et la Loi fédérale sur les étrangers, persiste à commettre des actes répréhensibles et à rester en Suisse, alors qu’il sait qu’il n’a pas d’autorisation de séjour. La juge d’application des peines doit également être suivie lorsqu’elle considère, que les projets de K.________ pour sa sortie de prison sont totalement inexistants puisqu’il se contente d’affirmer qu’il est finalement d’accord de regagner le Maroc. On ne peut au demeurant que douter des intentions affichées par l’intéressé, qui n’a jamais collaboré avec le SPOP et qui admet lui-même qu’il vit en Europe depuis vingt ans. Enfin, l’intéressé n’a fait aucune démarche démontrant qu’il envisagerait sérieusement de retourner dans son pays d’origine. L’appréciation du premier juge doit ainsi être confirmée. Le recours ne contient en outre aucun élément qui justifierait une autre appréciation. En effet, dans ses écritures, le recourant conteste les faits qui lui sont reprochés dans l’enquête en cours (recours, pp. 1 et 2) ; il expose qu’il serait dangereux pour lui de rentrer au Mar oc parce que toute sa famille était « contre le régime » (recours, p. 2) ; il affirme qu’il a de nombreuses qualités et qu’il est prêt à travailler mais n’en a pas le droit et qu’il est très collaborant et aime la Suisse (recours, pp. 2 à 4). Force est ainsi de constater que, contrairement à ce qu’il a affirmé lors de son audition par la juge d’application des peines, K.________ n’envisage absolument pas de retourner dans son pays d’origine et qu’il se retrouvera immanquablement, à sa libération, dans les mêmes conditions que celles qui prévalaient lors de la commission des infractions pour lesquelles il est actuellement incarcéré, à savoir sans statut et sans possibilité de subvenir légalement à ses besoins. Par conséquent, la récidive est programmée, à tout le moins en matière de législation sur les étrangers. De plus, l’exécution d’un solde de peine de quatre mois et quinze jours ne présentera à l’évidence aucun effet dissuasif sur le prénommé. Au vu de ces éléments, le pronostic quant au comportement futur du recourant est clairement défavorable et c’est à juste titre que la juge d’application des peines a refusé de lui octroyer la libération conditionnelle.</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4 mars 2016 est confirmée. III. Les frais d’arrêt, par 880 fr. (huit cent huitante francs), sont mis à la charge du recourant. IV. Le présent arrêt est exécutoire. Le président :               La greffière : Du Le présent arrêt, dont la rédaction a été approuvée à huis clos, est notifié, par l'envoi d'une copie complète, à : - M. K.________, - Ministère public central, et communiqué à : ‑ Mme la juge d’application des peines, - M. le Procureur de l’arrondissement de Lausanne, - Office d’exécution des peines (réf. : OEP/PPL/81103/VRI/AMO), - Service de la population, secteur départs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