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189 vom 22. März 2016</w:t>
      </w:r>
    </w:p>
    <w:p>
      <w:r>
        <w:t>VD Tribunal cantonal, 2016-03-22, FR</w:t>
      </w:r>
    </w:p>
    <w:p>
      <w:r>
        <w:rPr>
          <w:b/>
        </w:rPr>
        <w:t xml:space="preserve">Quelle: </w:t>
      </w:r>
      <w:r>
        <w:t>https://mcp.opencaselaw.ch/entscheid/vd_findinfo_D_cision___2016___189</w:t>
      </w:r>
    </w:p>
    <w:p>
      <w:r>
        <w:t>FR: VD_FINDINFO Décision / 2016 / 189 du 22 mars 2016</w:t>
      </w:r>
    </w:p>
    <w:p>
      <w:r>
        <w:t>IT: VD_FINDINFO Décision / 2016 / 189 del 22 marzo 2016</w:t>
      </w:r>
    </w:p>
    <w:p>
      <w:pPr>
        <w:pStyle w:val="Heading2"/>
      </w:pPr>
      <w:r>
        <w:t>Regeste</w:t>
      </w:r>
    </w:p>
    <w:p>
      <w:r>
        <w:t>DEMANDE ADRESSÉE À L'AUTORITÉ, RÉCUSATION | 58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Dans le canton de Vaud, la Chambre des recours pénale du Tribunal cantonal est compétente pour statuer sur une demande de récusation à l'encontre d'un procureur (art. 59 al. 1 let. b CPP; art. 13 LVCPP [loi vaudoise du 19 mai 2009 d’introduction du code de procédure pénale suisse ; RSV 312.01]).</w:t>
      </w:r>
    </w:p>
    <w:p>
      <w:r>
        <w:rPr>
          <w:b/>
        </w:rPr>
        <w:t>E. 2.1</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Le Tribunal fédéral a considéré qu'une requête de récusation devait être déposée au plus tard six à sept jours après la connaissance du motif de prévention et qu'une demande déposée dans un délai de deux à trois semaines devait être considérée comme tardive (TF 1B_308/2014 consid. 2.2.1; CREP 22 décembre 2015/859).</w:t>
      </w:r>
    </w:p>
    <w:p>
      <w:r>
        <w:rPr>
          <w:b/>
        </w:rPr>
        <w:t>E. 2.2</w:t>
      </w:r>
    </w:p>
    <w:p>
      <w:r>
        <w:t>Dans le cas d'espèce, les faits dénoncés par T.________ se seraient produits le 11 mars 2015 et le 16 février 2016. Le requérant a déposé sa requête le 1 er mars 2016, soit plus de deux semaines après les faits reprochés. En application des principes posés par la jurisprudence susmentionnée, la demande de récusation déposée par T.________ doit être considérée comme tardive.</w:t>
      </w:r>
    </w:p>
    <w:p>
      <w:r>
        <w:rPr>
          <w:b/>
        </w:rPr>
        <w:t>E. 3</w:t>
      </w:r>
    </w:p>
    <w:p>
      <w:r>
        <w:t>Au demeurant, le requérant n'invoque aucun élément concret permettant de retenir une prévention du Procureur à son encontre. A la lecture des procès-verbaux des 11 mars 2015 et 16 février 2016, on constate que le déroulement des auditions du témoin G.________ échappe à la critique. A cet égard, on rappellera que le Procureur est maître de l'audience et la dirige en tant que direction de la procédure sans que cela constitue un chef de prévention. De plus, l'argument dont se prévaut T.________ selon lequel le Procureur aurait "modifié" ses questions lors de l'audience du 16 février 2016 afin de classer la présente affaire n'est pas pertinent dès lors qu'à ce jour, la procédure n'a fait l'objet d'aucun un avis de prochaine clôture. Enfin, force est de constater que le requérant a initié une procédure de récusation contre le Procureur P.________ dans le but réel de s'en prendre à la conduite de l'enquête et aux décisions prises par ce dernier. Ainsi, la requête de T.________, à supposer recevable, aurait dû être rejetée pour ces motifs.</w:t>
      </w:r>
    </w:p>
    <w:p>
      <w:r>
        <w:rPr>
          <w:b/>
        </w:rPr>
        <w:t>E. 4</w:t>
      </w:r>
    </w:p>
    <w:p>
      <w:r>
        <w:t>Il résulte de ce qui précède que la requête de récusation doit être rejetée dans la mesure où elle est recevable. Les frais de procédure, constitués du seul émolument de décision, par 550 fr. (art. 20 al. 1 TFIP [Tarif des frais de procédure et indemnités en matière pénale du 28 septembre 2010, RSV 312.03.1]), seront mis à la charge du requérant (art. 59 al. 4, 2 e phrase, CPP) Par ces motifs, la Chambre des recours pénale prononce : I. La demande de récusation, présentée le 1 er mars 2016 par T.________ à l'encontre du Procureur P.________, est rejetée dans la mesure où elle est recevable. II. Les frais de la présente décision, par 550 fr. (cinq cent cinquante francs), sont mis à la charge de T.________. III. La présente décision est exécutoire. Le vice-président : La greffière : Du La présente décision, dont la rédaction a été approuvée à huis clos, est notifiée, par l'envoi d'une copie complète, à : - T.________, - Ministère public central, et communiquée à : - M. le Procureur de l'arrondissement de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