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188 vom 3. März 2016</w:t>
      </w:r>
    </w:p>
    <w:p>
      <w:r>
        <w:t>VD Tribunal cantonal, 2016-03-03, FR</w:t>
      </w:r>
    </w:p>
    <w:p>
      <w:r>
        <w:rPr>
          <w:b/>
        </w:rPr>
        <w:t xml:space="preserve">Quelle: </w:t>
      </w:r>
      <w:r>
        <w:t>https://mcp.opencaselaw.ch/entscheid/vd_findinfo_D_cision___2016___188</w:t>
      </w:r>
    </w:p>
    <w:p>
      <w:r>
        <w:t>FR: VD_FINDINFO Décision / 2016 / 188 du 3 mars 2016</w:t>
      </w:r>
    </w:p>
    <w:p>
      <w:r>
        <w:t>IT: VD_FINDINFO Décision / 2016 / 188 del 3 marzo 2016</w:t>
      </w:r>
    </w:p>
    <w:p>
      <w:pPr>
        <w:pStyle w:val="Heading2"/>
      </w:pPr>
      <w:r>
        <w:t>Regeste</w:t>
      </w:r>
    </w:p>
    <w:p>
      <w:r>
        <w:t>INDEMNITÉ{EN GÉNÉRAL}, DÉFENSE D'OFFICE | 132 CPP (CH), 395 let. b CPP (CH)</w:t>
      </w:r>
    </w:p>
    <w:p>
      <w:pPr>
        <w:pStyle w:val="Heading2"/>
      </w:pPr>
      <w:r>
        <w:t>Erwägungen</w:t>
      </w:r>
    </w:p>
    <w:p>
      <w:r>
        <w:rPr>
          <w:b/>
        </w:rPr>
        <w:t>E. 1</w:t>
      </w:r>
    </w:p>
    <w:p>
      <w:r>
        <w:t>CPP, le recours est recevable.</w:t>
      </w:r>
    </w:p>
    <w:p>
      <w:r>
        <w:rPr>
          <w:b/>
        </w:rPr>
        <w:t>E. 2</w:t>
      </w:r>
    </w:p>
    <w:p>
      <w:r>
        <w:t>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Les débours comprennent notamment les photocopies, les frais de poste et ceux de télécommunication (Wehrenberg/Bernhard, in : Niggli/Heer/Wiprächtiger [éd.], Basler Kommentar, Schweizerische Strafprozessordnung, Jugend­straf­prozessordnung, 2 e éd., Bâle 2014, n. 17 ad art. 429 CPP; Mizel/Réformaz, in Kuhn/Jeanneret [éd.], Commentaire romand, Code de procédure pénale suisse, Bâle 2011, n. 36 ad art. 429 CPP; CREP 24 janvier 2013/102 c. 3a; CAPE 14 mars 2012/88 c. 2.2). Selon la jurisprudence de la Cour de céans, les photocopies sont indemnisées à raison de 20 ct. par copie (CREP 7 juin 2013/353 consid. 2c). Quant aux frais de poste, il a été retenu un montant de 1 fr. par lettre simple et de 5 fr. pour les envois recommandés, les enveloppes étant pour leur part comprises dans les frais généraux (Juge unique CREP 26 décembre 2012/844 consid. 3c). Selon la jurisprudence de la Chambre des recours pénale, la transmission d’une copie de courrier à la partie adverse ou la transmission en copie d’une lettre ou d’un acte de l’autorité ne peut être prise en compte à titre d’activité déployée par l’avocat, s’agissant de pur travail de secrétariat. Il s’agit de frais généraux de l’avocat, qui sont compris dans l’indemnité horaire de 180 francs (cf. CREP 25 septembre 2014/699 ; CREP 28 août 2013/536).</w:t>
      </w:r>
    </w:p>
    <w:p>
      <w:r>
        <w:rPr>
          <w:b/>
        </w:rPr>
        <w:t>E. 2.1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w:t>
      </w:r>
    </w:p>
    <w:p>
      <w:r>
        <w:rPr>
          <w:b/>
        </w:rPr>
        <w:t>E. 2.2.1</w:t>
      </w:r>
    </w:p>
    <w:p>
      <w:r>
        <w:t>Le jugement attaqué motive comme suit la fixation de l’indemnité du défenseur d’office : « que le conseil du prévenu a produit une liste d’opérations, pour la période du 22 mai 2014 à cette audience de jugement du 19 janvier 2016, dont le libellé indique 40 heures de travail pour l’avocat et 40 heures pour l’avocat stagiaire, soit 80 heures, que ce montant paraît très élevé, que, certes, les conseils ont assisté à 10 auditions, qu’au surplus, on ne voit pas que l’affaire soit particulièrement compliquée, et qu’elle se termine finalement par une procédure simplifiée, qu’on ne comprend donc pas comment il peut y avoir tant d’heures, étant vu en outre que la première liste des opérations est imprécise quant au temps effectivement passé sur chaque opération, qu’on observe qu’un montant de plus de 10'000 fr. a déjà été payé à titre d’avance, ce qui donnerait un ordre de grandeur de 55 heures de travail pour l’avocat, que ce montant est suffisant, d’autant que plusieurs auditions ont été suivies par l’avocat-stagiaire, […] » .</w:t>
      </w:r>
    </w:p>
    <w:p>
      <w:r>
        <w:rPr>
          <w:b/>
        </w:rPr>
        <w:t>E. 2.2.2</w:t>
      </w:r>
    </w:p>
    <w:p>
      <w:r>
        <w:t>Dans son mémoire complétif, la recourante explique qu’il y a eu 15 auditions et non 10 auditions, que certaines se sont déroulées sur la journée, d’où un total de 46.4 heures qui peut être vérifié facilement par rapport aux procès-verbaux d’audition figurant au dossier, que l’affaire s’est déroulée sur plus d’une année et demie, laps de temps pendant lequel elle a rencontré à 10 reprises son client pour un total de 8.9 heures, ce qui n’a rien d’exagéré, qu’elle a adressé 51 courriers et 16 mémos/fiches de transmissions, qu’elle a effectué 33 téléphones de 10 minutes en moyenne et plusieurs études de dossiers et recherches juridiques.</w:t>
      </w:r>
    </w:p>
    <w:p>
      <w:r>
        <w:rPr>
          <w:b/>
        </w:rPr>
        <w:t>E. 2.3</w:t>
      </w:r>
    </w:p>
    <w:p>
      <w:r>
        <w:t>En l’occurrence, force est de constater que les auditions représentent déjà plus de 46.4 heures, que les correspondances et téléphones, de même que les entretiens avec L.________, ne peuvent pas être écartés et que les débours demandés sont justifiés. Toutefois, les mémos, comptés à 1.6 heures au total, constituent du pur travail de secrétariat selon la jurisprudence constante et doivent être retranchés (cf. consid. 2.1 supra in fine ). Quant aux 7.9 heures de recherches juridiques et étude du dossier annoncées, elles apparaissent excessives pour un dossier simple et pour une avocate correctement formée. Elles doivent donc être réduites à 4 heures. Partant, il convient donc de retrancher 5.5 heures (1.6 + 3.9) sur les heures d’avocate annoncées, ce qui donne en définitive : - 35.1 heures d’avocate à 180 fr., soit : 6'318 fr. 00 - 40.2 heures d’avocat-stagiaire à 110 fr., soit : 4'422 fr. 00 - Débours : 1'747 fr. 30 Total hors TVA : 12'487 fr. 30 Total TVA 8% comprise : 13'486 fr. 30</w:t>
      </w:r>
    </w:p>
    <w:p>
      <w:r>
        <w:rPr>
          <w:b/>
        </w:rPr>
        <w:t>E. 3</w:t>
      </w:r>
    </w:p>
    <w:p>
      <w:r>
        <w:t>En définitive, le recours doit être partiellement admis et le jugement attaqué réformé au chiffre IV de son dispositif en ce sens que l’indemnité allouée au recourant en sa qualité de défenseur d’office est fixée à 13’486 fr. 30, TVA incluse, sous déduction du montant de 10’735 fr. déjà versé. Les frais mis à la charge du prévenu, lesquels comprennent l’indemnité du défenseur d’office, se trouveront ainsi augmentés d’un montant de 2'751 fr. 30, correspondant à la différence entre les montants alloués en première instance et dans la présente procédure de recours. Ils seront dès lors portés à 20'860 fr. 20 (18'108 fr. 90 + 2'751 fr. 30). Le défenseur d'office ou le conseil juridique gratuit qui recourt en son nom propre a droit à des honoraires, calculés sur la base du tarif horaire prévu pour l’activité déployée dans le cadre d’un mandat d’office (Ruckstuhl, in : Niggli/Heer/Wiprächtiger [éd.], n. 16 et 18 ad art. 135 CPP; Juge unique CREP 31 octobre 2014/804 ; Juge unique CREP 9 novembre 2011/477). Au vu du mémoire produit et du résultat obtenu, l'indemnité qu'il convient d'allouer à ce titre à la recourante doit être fixée à 270 fr., plus la TVA, par 21 fr. 60, soit 291 fr. 60 au total, à la charge de l’Etat. Vu l’issue de la cause, les frais de la procédure de recours, par 630 fr. (art. 20 al. 1 TFIP  [Tarif des frais de procédure et indemnités en matière pénale du 28 septembre 2010; RSV 312.03.1]), seront mis pour un quart, soit 157 fr. 50, à la charge de R.________ (art. 428 al. 1 CPP), le solde, par trois quarts, soit 472 fr. 50, étant laissé à la charge de l’Etat. Par ces motifs, le juge unique prononce : I. Le recours est partiellement admis. II. Le jugement du 19 janvier 2016 est réformé comme suit au chiffre IV de son dispositif : « IV. met les frais de justice, par 20'860 fr. 20 (vingt mille huit cent soixante francs et vingt centimes) à la charge d’L.________ et dit que ces frais comprennent l’indemnité allouée à son défenseur d’office par 13'486 fr. 30 (treize mille quatre cent huitante-six francs et trente centimes), TVA et débours compris, dont à déduire 10'735 fr. (dix mille sept cent trente-cinq francs) d’avance d’ores et déjà reçue, cette indemnité devant être remboursée à l’Etat dès que la situation financière du condamné le permettra ». III. L’indemnité allouée à R.________ pour la procédure de recours est fixée à 291 fr. 60 (deux cent nonante et un francs et soixante centimes), TVA et débours compris, à la charge de l’Etat. IV. Les frais d’arrêt, par 630 fr. (six cent trente francs), sont mis pour un quart, soit 157 fr. 50 (cent cinquante-sept francs et cinquante centimes), à la charge de R.________, le solde, par trois quarts, soit 472 fr. 50 (quatre cent septante-deux francs et cinquante centimes), étant laissé à la charge de l’Etat. V. Le présent arrêt est exécutoire. Le juge unique :               La greffière : Du Le présent arrêt, dont la rédaction a été approuvée à huis clos, est notifié, par l'envoi d'une copie complète, à : - Me R.________, avocate, - Ministère public central, et communiqué à : ‑ M. le Président du Tribunal d’arrondissement de Lausanne, - M. le Procureur de l’arrondissement de l’Est vaudois, - M.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