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187 vom 2. März 2016</w:t>
      </w:r>
    </w:p>
    <w:p>
      <w:r>
        <w:t>VD Tribunal cantonal, 2016-03-02, FR</w:t>
      </w:r>
    </w:p>
    <w:p>
      <w:r>
        <w:rPr>
          <w:b/>
        </w:rPr>
        <w:t xml:space="preserve">Quelle: </w:t>
      </w:r>
      <w:r>
        <w:t>https://mcp.opencaselaw.ch/entscheid/vd_findinfo_D_cision___2016___187</w:t>
      </w:r>
    </w:p>
    <w:p>
      <w:r>
        <w:t>FR: VD_FINDINFO Décision / 2016 / 187 du 2 mars 2016</w:t>
      </w:r>
    </w:p>
    <w:p>
      <w:r>
        <w:t>IT: VD_FINDINFO Décision / 2016 / 187 del 2 marzo 2016</w:t>
      </w:r>
    </w:p>
    <w:p>
      <w:pPr>
        <w:pStyle w:val="Heading2"/>
      </w:pPr>
      <w:r>
        <w:t>Regeste</w:t>
      </w:r>
    </w:p>
    <w:p>
      <w:r>
        <w:t>EXÉCUTION ANTICIPÉE DES PEINES ET DES MESURES, MOTIVATION DE LA DÉCISION, DROIT D'ÊTRE ENTENDU | 236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2 e éd., Bâle 2014, n. 10 ad art. 393 CPP; Hug, in : Donatsch/Hansjakob/Lieber (éd.), Kommentar zur Schweizerischen Strafprozess-ordnung, 2 e éd., 2014, n. 17 ad art. 236 CPP; CREP 30 janvier 2013/34;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par le prévenu qui a qualité pour recourir (art. 382 al. 1 CPP) et satisfait aux conditions de forme posées par l’art. 385 al. 1 CPP.</w:t>
      </w:r>
    </w:p>
    <w:p>
      <w:r>
        <w:rPr>
          <w:b/>
        </w:rPr>
        <w:t>E. 2.1</w:t>
      </w:r>
    </w:p>
    <w:p>
      <w:r>
        <w:t>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consid. 2.1; TF 1B_90/2012 du 21 mars 2012 consid. 2.2; TF 1B_18/2012 du 27 janvier 2012 consid. 2; ATF 133 IV 270 consid. 3.2.1 p. 177, JdT 2011 IV 3, spéc. p. 9). La poursuite de la détention sous la forme de l’exécution anticipée de la peine suppose l’existence d’un motif de détention provisoire particulier, comme le risque de collusion ou le risque de fuite (TF 1B_90/2012 précité; ATF 117 Ia 72; Robert-Nicoud, in : Kuhn/Jeanneret (éd.), Commentaire romand, Code de procédure pénale suisse, Bâle 2011, n. 4 ad art. 236 CPP). L’art. 236 al. 1 CPP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in: Donatsch/ Hansjakob/Lieber (éd.),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in : Niggli/ Heer/Wiprächtiger (éd.), op. cit., n. 13 ad art. 236 CPP et les références citées).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manœuvres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p. 278; TF 1B_90/2012 du 21 mars 2012 consid. 2.2 et les arrêts cités; TF 1B_415/2012 du 25 juillet 2012; TF 1B_426/2012 du 3 août 2012).</w:t>
      </w:r>
    </w:p>
    <w:p>
      <w:r>
        <w:rPr>
          <w:b/>
        </w:rPr>
        <w:t>E. 2.2</w:t>
      </w:r>
    </w:p>
    <w:p>
      <w:r>
        <w:t>Invoquant une violation de son droit d'être entendu, le recourant fait notamment grief au ministère public de ne pas avoir suffisamment motivé son ordonnance. S’agissant d’un grief de nature formelle, dont l’admission mènerait en principe à l’annulation de la décision attaquée (ATF 122 IV 8), il convient de statuer sur ce moyen en premier lieu. Le droit d’être entendu, garanti à l'art. 29 al. 2 Cst. (Constitution fédérale de la Confédération suisse du 18 avril 1999, RS 101), comporte celui de recevoir une décision suffisamment motivée, c'est-à-dire permettant à la personne visée de la contester à bon escient (ATF 129 I 232 consid. 3.2; ATF 125 II 369 consid. 2c) et à l'autorité de recours d'exercer utilement son contrôle (ATF 126 I 97 consid. 2b; ATF 124 II 146). Pour répondre à l’exigence de motiver sa décision, l’autorité doit mentionner, au moins brièvement, les motifs qui l'ont guidé et sur lesquels elle a fondé sa décision, de manière à ce que l'intéressé puisse se rendre compte de la portée de celle-ci et l'attaquer en connaissance de cause (ATF 122 IV 8 précité). La seule référence à la norme légale est insuffisante sous l'angle des exigences de motivation de la décision (CREP 11 février 2015/109 consid. 2.1 et les références citées). Le principe du droit d’être entendu étant de nature formelle, toute violation de ce dernier conduit, en principe, à l’annulation de la décision rendue et au renvoi du dossier à l'autorité saisie de la cause pour nouvelle décision (ATF 122 IV 8 précité; ATF 121 I 230).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 2.3.2). En procédure pénale, selon l'art. 80 CPP, les prononcés sont rendus par écrit et motivés (al. 2), à l'exception des décisions et ordonnances simples d'instruction, qui ne doivent pas nécessairement être rédigées séparément ni être motivées, mais doivent être consignées au procès-verbal et notifiées aux parties de manière appropriée (al. 3).</w:t>
      </w:r>
    </w:p>
    <w:p>
      <w:r>
        <w:rPr>
          <w:b/>
        </w:rPr>
        <w:t>E. 2.3</w:t>
      </w:r>
    </w:p>
    <w:p>
      <w:r>
        <w:t>En l’espèce, dans son ordonnance du 28 janvier 2016, le ministère public a motivé le rejet de la requête d’exécution anticipée de peine présentée par I.________ en indiquant uniquement « qu’une telle mesure est incompatible avec l’état de la procédure ». Si cette motivation excède la simple référence à la norme légale topique, soit l’art. 236 CPP, force est de constater que, l’ordonnance attaquée n'étant pas une ordonnance simple d'instruction au sens de l'art. 80 al. 3 CPP, une telle motivation est insuffisante. On ne voit en effet pas comment le recourant pouvait, sur la base de cette seule formulation, comprendre quels motifs précis s’opposaient à sa requête. Cette indication est également trop lapidaire pour permettre à l’autorité de recours d’exercer correctement son contrôle. Le ministère public aurait dû indiquer, à tout le moins brièvement, pour quelles raisons concrètes il considérait que les conditions de la disposition citée n'étaient pas réalisées. Le droit d'être entendu du recourant a ainsi été violé. Les explications données par le ministère public dans ses déterminations du 22 février 2016 ne sauraient réparer ce vice. L’absence de motivation est en effet un vice trop grave pour être guéri en instance de recours. L’autorité intimée ne peut en effet se contenter de motiver sa décision qu’en cas de recours et le justiciable ne doit pas se voir imposer d’interjeter un recours pour violation du droit d’être entendu pour n’exercer matériellement son droit de recours que dans un second échange d’écritures.</w:t>
      </w:r>
    </w:p>
    <w:p>
      <w:r>
        <w:rPr>
          <w:b/>
        </w:rPr>
        <w:t>E. 3</w:t>
      </w:r>
    </w:p>
    <w:p>
      <w:r>
        <w:t>Il résulte de ce qui précède que le recours doit être admis et l’ordonnance du 28 janvier 2016 annulée. Le dossier de la cause sera renvoyé au Ministère public de l'arrondissement de l’Est vaudois afin qu'il rende une nouvelle décision motivée. Les frais de la procédure de recours, constitués en l'espèce de l'émolument d'arrêt, par 770 fr. (art. 20 al. 1 TFIP [tarif des frais de procédure et indemnités en matière pénal du 28 septembre 2010 ; RSV 312.03.1]), ainsi que des frais imputables à la défense d’office (art. 422 al. 1 et al. 2 let. a CPP), fixés à 630 fr., plus la TVA par 50 fr. 40, soit un total de 680 fr. 40, seront laissés à la charge de l’Etat (art. 428 al. 4 CPP). Par ces motifs, la Chambre des recours pénale prononce : I. Le recours est admis. II. L’ordonnance du 28 janvier 2016 est annulée. III. Le dossier de la cause est renvoyé au Ministère public de l'arrondisse-ment de l’Est vaudois pour qu'il rende une nouvelle décision dans le sens des considérants. IV. L'indemnité allouée au défenseur d'office de I.________ est fixée à 680 fr. 40 (six cent huitante francs et quarante centimes). V. Les frais d’arrêt, par 770 fr. (sept cent septante francs), ainsi que l’indemnité due au défenseur d’office de I.________, 680 fr. 40 (six cent huitante francs et quarante centimes), sont laissés à la charge de l'Etat. VI. Le présent arrêt est exécutoire. Le président :               La greffière : Du Le présent arrêt, dont la rédaction a été approuvée à huis clos, est notifié, par l'envoi d'une copie complète, à : - M. Astyanax Peca, avocat (pour I.________), - Ministère public central, et communiqué à : ‑ Mme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