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184 vom 18. März 2016</w:t>
      </w:r>
    </w:p>
    <w:p>
      <w:r>
        <w:t>VD Tribunal cantonal, 2016-03-18, FR</w:t>
      </w:r>
    </w:p>
    <w:p>
      <w:r>
        <w:rPr>
          <w:b/>
        </w:rPr>
        <w:t xml:space="preserve">Quelle: </w:t>
      </w:r>
      <w:r>
        <w:t>https://mcp.opencaselaw.ch/entscheid/vd_findinfo_D_cision___2016___184</w:t>
      </w:r>
    </w:p>
    <w:p>
      <w:r>
        <w:t>FR: VD_FINDINFO Décision / 2016 / 184 du 18 mars 2016</w:t>
      </w:r>
    </w:p>
    <w:p>
      <w:r>
        <w:t>IT: VD_FINDINFO Décision / 2016 / 184 del 18 marzo 2016</w:t>
      </w:r>
    </w:p>
    <w:p>
      <w:pPr>
        <w:pStyle w:val="Heading2"/>
      </w:pPr>
      <w:r>
        <w:t>Regeste</w:t>
      </w:r>
    </w:p>
    <w:p>
      <w:r>
        <w:t>ORDONNANCE DE CONDAMNATION, DROIT D'ÊTRE ENTENDU | 3 al. 2 let. c CPP (CH), 354 CPP (CH)</w:t>
      </w:r>
    </w:p>
    <w:p>
      <w:pPr>
        <w:pStyle w:val="Heading2"/>
      </w:pPr>
      <w:r>
        <w:t>Erwägungen</w:t>
      </w:r>
    </w:p>
    <w:p>
      <w:r>
        <w:rPr>
          <w:b/>
        </w:rPr>
        <w:t>E. 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 Riklin, in : Niggli/Heer/Wiprächtiger [éd.], Basler Kommentar, Schweizerische Strafprozessordnung, Jugendstrafprozessordnung, 2 e éd., Bâle 2014, n. 2 ad art. 356 CPP ; CREP 13 août 2015/478 ; CREP 20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devant l’autorité compétente, par le condamné qui a qualité pour recourir (art. 382 al. 1 CPP), et dans les formes prescrites (art. 385 al. 1 CPP). Il est donc recevable.</w:t>
      </w:r>
    </w:p>
    <w:p>
      <w:r>
        <w:rPr>
          <w:b/>
        </w:rPr>
        <w:t>E. 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13 août 2015/480 ; CREP 11 août 2014/499). Elle est tardive si elle a été adressée au Ministère public après le délai de dix jours prévu par l'art. 354 al. 1 CPP.</w:t>
      </w:r>
    </w:p>
    <w:p>
      <w:r>
        <w:rPr>
          <w:b/>
        </w:rPr>
        <w:t>E. 3.1</w:t>
      </w:r>
    </w:p>
    <w:p>
      <w:r>
        <w:t>Dans un premier moyen, le recourant invoque une violation de son droit d’être entendu. Il soutient en substance que le Tribunal de police aurait dû lui laisser le temps de réagir à la communication du Ministère public du 8 mars 2016 avant de rendre son prononcé d’irrecevabilité, et ce même si la procédure nécessitait d’être traitée avec une célérité particulière.</w:t>
      </w:r>
    </w:p>
    <w:p>
      <w:r>
        <w:rPr>
          <w:b/>
        </w:rPr>
        <w:t>E. 3.2</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(TF 5A_680/2014 du 21 novembre 2014 consid. 4.1 et les références citées ; ATF 108 Ia 293 ; Piquerez/Macaluso, Manuel de procédure pénale suisse, 3 e éd., Bâle 2011, nn. 191 ss ; CREP 2 décembre 2015/793).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3.3</w:t>
      </w:r>
    </w:p>
    <w:p>
      <w:r>
        <w:t>En l’espèce, le Ministère public a télécopié sa prise de position relative à la validité de l’opposition formée par P.________ et une copie du dossier de la cause le 8 mars 2016, à 11h43, au Tribunal de police. Une copie a été adressée, également par fax, le même jour, à 11h58, au défenseur du recourant. Toujours le même jour, le Tribunal de police a rendu son prononcé d’irrecevabilité et l’a communiqué par télécopie au défenseur du recourant à 15h13, sans avoir interpellé ce dernier dans l’intervalle. Quand bien même on ne saurait exiger du Tribunal de police qu’il impartisse formellement un délai, même bref, au prévenu afin que ce dernier puisse se déterminer lorsque le Tribunal de police statue sur la validité d’une opposition, l’art. 356 al. 2 CPP ne prévoyant pas de débats ni d’interpellation, il faut relever qu’en l’espèce, le délai entre la saisine du tribunal et le moment où celui-ci a rendu sa décision est très court. Il s’est en effet écoulé à peine plus de trois heures. Un tel laps de temps n’était pas suffisant pour permettre au défenseur du recourant de réagir adéquatement. Son droit d’être entendu n’a par conséquent pas été respecté. La cour de céans est au demeurant d’avis que le prévenu doit au minimum disposer d’une pleine demi-journée ouvrable, à compter du moment où lui ou son défenseur est informé de la transmission du dossier au tribunal, pour lui permettre d’exercer son droit d’être entendu s’il le souhaite, avant que le tribunal statue sur la validité d’une opposition. Au regard de la gravité de l’irrégularité, il n’est pas concevable que l’autorité de céans répare le vice constaté. Le moyen doit être admis et le prononcé du Tribunal de police de l’arrondissement de La Côte annulé.</w:t>
      </w:r>
    </w:p>
    <w:p>
      <w:r>
        <w:rPr>
          <w:b/>
        </w:rPr>
        <w:t>E. 4</w:t>
      </w:r>
    </w:p>
    <w:p>
      <w:r>
        <w:t>Il résulte de ce qui précède que le recours doit être admis et le prononcé rendu le 8 mars 2016 annulé. Le dossier de la cause sera renvoyé au Tribunal de police de l’arrondissement de La Côte pour nouvelle décision dans le sens des considérants. Bien que le recourant obtienne gain de cause, cela n’implique pas de facto sa libération immédiate, comme il le requiert dans son recours. La procédure devant le Tribunal de police de l’arrondissement de La Côte devant être reprise, le maintien en exécution de peine de P.________ se justifie, dès lors que seule une opposition valablement formée peut empêcher l’entrée en force et la concrète exécution de l’ordonnance pénale (cf. en ce sens Gilliéron/Killias, op. cit., n. 17 ad art. 354 CPP). Ainsi, lorsqu’il existe des raisons sérieuses de douter de la recevabilité de l’opposition, comme c’est le cas en l’espèce, cette dernière ne suspend pas le caractère exécutoire de l’ordonnance pénale jusqu’à ce que le Tribunal de police ait statué sur la recevabilité. Compte tenu de la relative complexité de l’affaire devant l’autorité de recours et de la situation du recourant, lequel est détenu, dépourvu d’autorisation de séjour et ne maîtrise pas le français, il convient de faire droit à sa requête tendant à ce que Me Gaétan Droz, déjà consulté comme défenseur de choix, soit désigné comme défenseur d’office pour la procédure de recours (art. 132 al. 1 let. b et 133 CPP). A ce titre, au vu du mémoire produit, une indemnité de 720 fr., plus la TVA, par 57 fr. 60, soit 777 fr. 60, sera allouée à ce dernier. Il appartiendra au premier juge de statuer sur la requête tendant à la désignation de ce mandataire en la même qualité pour la procédure de première instance. Les frais de la procédure de recours, constitués en l’espèce de l’émolument d’arrêt, par 880 fr. (art. 20 al. 1 TFIP [Tarif des frais de procédure et indemnités en matière pénale du 28 septembre 2010 ; RSV 312.03.1]), ainsi que de l’indemnité allouée au défenseur d’office du recourant (art. 422 al. 2 let. a CPP), par 777 fr. 60, seront laissés à la charge de l’Etat. Par ces motifs, la Chambre des recours pénale prononce : I. Le recours est admis. II. Le prononcé du 8 mars 2016 est annulé. III. Le dossier de la cause est renvoyé au Tribunal de police de l’arrondissement de La Côte pour nouvelle décision dans le sens des considérants. IV. Me Gaétan Droz est désigné en qualité de défenseur d’office de P.________ pour la procédure de recours et son indemnité est fixée à 777 fr. 60 (sept cent septante-sept francs et soixante centimes). V. Les frais d’arrêt, par 880 fr. (huit cent huitante francs), ainsi que l’indemnité due au défenseur d’office de P.________, par 777 fr. 60 (sept cent septante-sept francs et soixante centimes), sont laissés à la charge de l’Etat. VI. Le présent arrêt est exécutoire. Le président :               Le greffier : Du Le présent arrêt, dont la rédaction a été approuvée à huis clos, est notifié, par l'envoi d'une copie complète, à : - Me Gaétan Droz, avocat (pour P.________), - Ministère public central, et communiqué à : - Mme la Présidente du Tribunal d’arrondissement de La Côte, - Mme la Procureure de l’arrondissement de La Côte, - Etablissements de Bellechasse,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