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182 vom 11. Januar 2016</w:t>
      </w:r>
    </w:p>
    <w:p>
      <w:r>
        <w:t>VD Tribunal cantonal, 2016-01-11, FR</w:t>
      </w:r>
    </w:p>
    <w:p>
      <w:r>
        <w:rPr>
          <w:b/>
        </w:rPr>
        <w:t xml:space="preserve">Quelle: </w:t>
      </w:r>
      <w:r>
        <w:t>https://mcp.opencaselaw.ch/entscheid/vd_findinfo_D_cision___2016___182</w:t>
      </w:r>
    </w:p>
    <w:p>
      <w:r>
        <w:t>FR: VD_FINDINFO Décision / 2016 / 182 du 11 janvier 2016</w:t>
      </w:r>
    </w:p>
    <w:p>
      <w:r>
        <w:t>IT: VD_FINDINFO Décision / 2016 / 182 del 11 gennaio 2016</w:t>
      </w:r>
    </w:p>
    <w:p>
      <w:pPr>
        <w:pStyle w:val="Heading2"/>
      </w:pPr>
      <w:r>
        <w:t>Regeste</w:t>
      </w:r>
    </w:p>
    <w:p>
      <w:r>
        <w:t>RISQUE DE RÉCIDIVE, RISQUE DE FUITE, DÉTENTION POUR DES MOTIFS DE SÛRETÉ, LIBÉRATION CONDITIONNELLE | 221 al. 1 let. a CPP (CH), 221 al. 1 let. c CPP (CH), 233 CPP (CH)</w:t>
      </w:r>
    </w:p>
    <w:p>
      <w:pPr>
        <w:pStyle w:val="Heading2"/>
      </w:pPr>
      <w:r>
        <w:t>Erwägungen</w:t>
      </w:r>
    </w:p>
    <w:p>
      <w:r>
        <w:rPr>
          <w:b/>
        </w:rPr>
        <w:t>E. 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Bâle 2013, n. 4 ad. art. 233). En l’occurrence, déposée à la suite d’une déclaration d’appel, la demande de mise en liberté présentée par X.________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 (let. b) ; qu'il compromette sérieusement la sécurité d'autrui par des crimes ou des délits graves après avoir déjà commis des infractions du même genre (let. c).</w:t>
      </w:r>
    </w:p>
    <w:p>
      <w:r>
        <w:rPr>
          <w:b/>
        </w:rPr>
        <w:t>E. 2.2</w:t>
      </w:r>
    </w:p>
    <w:p>
      <w:r>
        <w:t>Le juge peut maintenir la détention préventive aussi longtemps qu'elle n'est pas très proche de la durée de la peine privative de liberté à laquelle il faut s'attendre concrètement en cas de condamnation (ATF 133 I 168 c. 4.1 et les références citées).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 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S'agissant de la libération conditionnelle, on ne saurait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(TF 1B_641/2011 du 25 novembre 2011 consid. 3.1; TF 1B_122/2009 du 10 juin 2009 consid. 2.3) : tel peut être le cas si le prévenu, après avoir été condamné en première instance, est en détention préventive en attendant l'issue du recours qu'il a formé contre sa condamnation (TF 1B_82/2008 du 7 avril 2008 consid. 4.1; TF 1P.27/2007 du 26 janvier 2007 consid. 3.5.2 et les arrêts cités).</w:t>
      </w:r>
    </w:p>
    <w:p>
      <w:r>
        <w:rPr>
          <w:b/>
        </w:rPr>
        <w:t>E. 2.3.1</w:t>
      </w:r>
    </w:p>
    <w:p>
      <w:r>
        <w:t>En l’espèce, le Tribunal correctionnel ayant condamné le prévenu pour les faits qui lui sont reprochés, il existe des soupçons de culpabilité suffisants au sens de l’art. 221 CPP, de telle sorte que cette condition ne saurait être remise en cause à ce stade, indépendamment de l’issue de la procédure d’appel pendante.</w:t>
      </w:r>
    </w:p>
    <w:p>
      <w:r>
        <w:rPr>
          <w:b/>
        </w:rPr>
        <w:t>E. 2.3.2</w:t>
      </w:r>
    </w:p>
    <w:p>
      <w:r>
        <w:t>Le risque de fuite est réputé réalisé lorsque les circonstances concrètes font apparaître que le prévenu tentera vraisemblablement de se soustraire à la poursuite judiciaire ou à l'exécution d'une peine (ATF 106 Ia 404, rés.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w:t>
      </w:r>
    </w:p>
    <w:p>
      <w:r>
        <w:rPr>
          <w:b/>
        </w:rPr>
        <w:t>E. 2.3.3</w:t>
      </w:r>
    </w:p>
    <w:p>
      <w:r>
        <w:t>Les conditions de l’art. 221 al. 1 CPP étant alternatives (TF 1B_249/2011 du 7 juin 2011 consid. 2.4), l’existence du risque de fuite pourrait  dispenser la cour de céans d’examiner si la détention provisoire s’impose également en raison d’un risque de réitération. A cet égard, on relèvera néanmoins que compte tenu des antécédents judiciaires du requérant – dont le casier judiciaire fait état de deux condamnations prononcée en février 2014 et en janvier 2015, les deux fois pour séjour illégal et contravention à la loi fédérale sur les stupéfiants – ainsi que de son absence totale de prise de conscience, son maintien en détention pour des motifs de sûreté serait également susceptible d’être justifié par l’existence d’un risque de réitération.</w:t>
      </w:r>
    </w:p>
    <w:p>
      <w:r>
        <w:rPr>
          <w:b/>
        </w:rPr>
        <w:t>E. 2.3.4</w:t>
      </w:r>
    </w:p>
    <w:p>
      <w:r>
        <w:t>Enfin, il y a lieu d’examiner l’argument du requérant selon lequel il serait accessible à la libération conditionnelle. Comme déjà dit, il n'appartient pas au juge de la détention de se livrer à l’appréciation des conditions dl'octroi de la libération conditionnelle que sont le bon comportement en détention et le pronostic qui peut être posé quant au comportement futur du condamné en liberté, à moins qu’une appréciation des circonstances concrètes permette d'aboutir d'emblée à la conclusion que ces conditions sont réalisées (cf. consid. 2.2 ci-dessus). En l’espèce, il ressort du rapport établi le 18 mars 2016 par la direction de la prison de la Croisée, où est actuellement incarcéré X.________, que le comportement de celui-ci en détention semble certes répondre aux attentes – le détenu n’ayant en particulier pas fait l’objet de sanction disciplinaire –, mais qu’il n’est néanmoins pas exempt de tout reproche. A cet égard, la direction de la prison relève en particulier que, d’une part, X.________ se montre parfois très demandeur et que, lorsqu’il est mécontent, il frappe contre la porte de sa cellule en dépit des remarques du personnel. D’autre part, malgré plusieurs recadrages par les responsables d’étage, X.________ a également beaucoup de peine à respecter les règles et les directives d’hygiène pour l’entretien de sa cellule, qui est le plus souvent dans un état déplorable. La question de savoir si ces remarques négatives quant au comportement du requérant en détention permettraient néanmoins de considérer que la condition relative au bon comportement du détenu est d’emblée réalisée peut toutefois demeurer ouverte dès lors que la réalisation de la condition relative au comportement futur du condamné n’apparaît quant à elle manifestement pas susceptible d’être tranchée à ce stade. En effet, les antécédents du requérant, son amendement manifestement insuffisant, son absence de statut et de ressources en Suisse ainsi que le risque de récidive qui découle de ces éléments ne permettent pas d’emblée d’aboutir  à la conclusion que cette condition est réalisée. Au vu de ces éléments, le cas de X.________ ne constitue pas une exception à la règle selon laquelle il n'appartient pas au juge de la détention de se déterminer sur les conditions d’accession à la libération conditionnelle et cet argument doit être rejeté.</w:t>
      </w:r>
    </w:p>
    <w:p>
      <w:r>
        <w:rPr>
          <w:b/>
        </w:rPr>
        <w:t>E. 2.4</w:t>
      </w:r>
    </w:p>
    <w:p>
      <w:r>
        <w:t>Enfin, aucune mesure de substitution (art. 237 CPP) ne présente en l’état de garanties suffisantes pour pallier au risque de fuite retenu et la détention est conforme au principe de la proportionnalité des intérêts en présence (art. 212 al. 3 CPP), compte tenu de la gravité des infractions reprochées au prévenu et de la peine à laquelle il s’expose (ATF 133 I 168 c. 4.1 et les arrêts cités). 3. En définitive, le maintien en détention de X.________ pour des motifs de sûreté se justifie dans l’attente de l’audience d’appel et sa requête tendant à sa mise en liberté doit être rejetée. Il sera statué sur les frais du présent prononcé à l'issue de la cause au fond.</w:t>
      </w:r>
    </w:p>
    <w:p>
      <w:r>
        <w:rPr>
          <w:b/>
        </w:rPr>
        <w:t>E. 5</w:t>
      </w:r>
    </w:p>
    <w:p>
      <w:r>
        <w:t>septembre 2011 c. 3.1). La gravité de l’infraction permet souvent de présumer un danger de fuite en raison de l’importance de la peine dont le prévenu est menacé (ATF 125 I 60). En l’espèce, X.________ est ressortissant de Tunisie. Avant son incarcération, il séjournait illégalement en Suisse, où il n’a ni adresse, ni attache. Par ailleurs, dans son appel joint, le Ministère public a conclu au prononcé d’une peine privative de liberté de quinze mois ainsi qu’à une peine pécuniaire de quinze jours-amende. Au vu de la quotité de la peine ferme à laquelle il s’expose et de son absence d’attache avec la Suisse, il faut considérer qu’il existe un risque concret que le requérant, une fois remis en liberté, tente de se soustraire à sa sanction en quittant le territoire helvétique ou en vivant dans la clandestinité. Il faut par conséquent retenir un risque de fuite.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