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180 vom 17. März 2016</w:t>
      </w:r>
    </w:p>
    <w:p>
      <w:r>
        <w:t>VD Tribunal cantonal, 2016-03-17, FR</w:t>
      </w:r>
    </w:p>
    <w:p>
      <w:r>
        <w:rPr>
          <w:b/>
        </w:rPr>
        <w:t xml:space="preserve">Quelle: </w:t>
      </w:r>
      <w:r>
        <w:t>https://mcp.opencaselaw.ch/entscheid/vd_findinfo_D_cision___2016___180</w:t>
      </w:r>
    </w:p>
    <w:p>
      <w:r>
        <w:t>FR: VD_FINDINFO Décision / 2016 / 180 du 17 mars 2016</w:t>
      </w:r>
    </w:p>
    <w:p>
      <w:r>
        <w:t>IT: VD_FINDINFO Décision / 2016 / 180 del 17 marzo 2016</w:t>
      </w:r>
    </w:p>
    <w:p>
      <w:pPr>
        <w:pStyle w:val="Heading2"/>
      </w:pPr>
      <w:r>
        <w:t>Regeste</w:t>
      </w:r>
    </w:p>
    <w:p>
      <w:r>
        <w:t>DÉTENTION PROVISOIRE, RISQUE DE FUITE, RISQUE DE RÉCIDIVE, SOUPÇON | 221 al. 1 let. a CPP (CH), 221 al. 1 let. c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2.2</w:t>
      </w:r>
    </w:p>
    <w:p>
      <w:r>
        <w:t>La mise en détention provisoire n’est possible que s’il existe à l’égard de l’auteur présumé, et préalablement à toute autre cause, de graves soupçons de culpabilité d’avoir commis un crime ou un délit (ATF 139 IV 186 consid. 2; Schmocker, in: Kuhn/Jeanneret [éd.],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ATF 116 Ia 143 consid. 3c; TF 1B_408/2015 du 10 décembre 2015 consid. 2.2; TF 1B_348/2013 du 21 octobre 2013 consid. 2.1.1; Piquerez, Traité de procédure pénale suisse, 2 e éd., Zurich 2006, n. 845; Schmocker, op. cit., n. 8 ad art. 221 CPP, p. 1025; Forster, in : Niggli/ Heer/Wiprächtiger [éd.], Basler Kommentar, Schweizerische Strafprozessordnung, 2 e éd., Bâle 2014, n. 3 ad art. 221 CPP).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ATF 124 I 208 consid. 3; ATF 116 Ia 413 consid. 3c; TF 1B_423/2010 du 17 janvier 2011 consid. 4.1; TF 1B_410/2010 du 23 décembre 2010 consid. 4.1; Forster, op. cit., n. 3 ad art. 221 CPP). En l’espèce, le recourant conteste les faits qui lui sont reprochés. Il a prétendu que A.________ n’était qu’une simple connaissance et qu’il ne disposait pas de ses coordonnées téléphoniques. Toutefois, des contrôles techniques ont permis de démontrer que la carte SIM qu’il détenait était insérée dans le téléphone de A.________ jusqu’au 10 novembre 2015 et que le numéro de ce dernier y était enregistré. De plus, le téléphone portable de A.________ a été localisé à deux reprises à proximité de deux appartements qui ont été cambriolés le 19 novembre 2015. Les deux prévenus ont également été aperçus ensemble le 27 novembre 2015 et ont été filés par la police, avant qu’ils ne parviennent à s’échapper. Le complice de A.________ portait un sac de tennis bleu de marque Wilson, volé le même jour dans un appartement à Pully (cf. rapport d’investigation du 29 novembre 2015). Le recourant et son comparse ont à nouveau été vus ensemble le 1 er décembre 2015, ce qui a permis à la police de déterminer où ils logeaient (cf. rapport d’investigation du 4 décembre 2015). Z.________, entendue en qualité de prévenue le 4 décembre 2015, a expliqué loger S.________ et A.________ depuis une quinzaine de jours et a confirmé qu’ils « sortaient généralement ensemble ». La perquisition effectuée au domicile de celle-ci a notamment permis la découverte d’une partie des effets volés dans un appartement le 4 décembre 2015, d’un lot important de bijoux et de montres, de plusieurs cartes SIM et d’un téléphone portable. Lors de cette perquisition, le recourant a tenté de prendre la fuite en se dirigeant vers une fenêtre. Enfin, le téléphone portable que le recourant est soupçonné avoir subtilisé au restaurant « [...] », à Lausanne, le 10 novembre 2015, a été retrouvé le lendemain dans un véhicule de police utilisé pour son transfert à l’Hôtel de police (cf. rapport d’investigation du 11 novembre 2015). Compte tenu de ces différents éléments, on peut considérer qu’il existe une présomption suffisamment sérieuse de culpabilité à l’encontre du recourant.</w:t>
      </w:r>
    </w:p>
    <w:p>
      <w:r>
        <w:rPr>
          <w:b/>
        </w:rPr>
        <w:t>E. 3.1</w:t>
      </w:r>
    </w:p>
    <w:p>
      <w:r>
        <w:t>Selon la jurisprudence, le risque de fuite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consid. 3.1 non publié). La gravité de l'infraction ne peut pas, à elle seule, justifier la prolongation de la détention, même si elle permet souvent de présumer un danger de fuite en raison de l'importance de la peine dont le prévenu est menacé (ATF 138 IV 81 précité; TF 1B_145/2012 du 19 avril 2012 consid. 3.1 et les références citées). En l’espèce, le recourant, ressortissant algérien sans domicile fixe ni activité lucrative en Suisse, n’a aucune attache dans ce pays. Il est ainsi fortement à craindre qu’il ne cherche à se soustraire aux poursuites pénales engagées contre lui en se réfugiant à l’étranger ou en disparaissant dans la clandestinité. Dans ces circonstances, le risque de fuite est manifeste et s’oppose à la levée de sa détention provisoire, ce que le recourant ne conteste du reste pas.</w:t>
      </w:r>
    </w:p>
    <w:p>
      <w:r>
        <w:rPr>
          <w:b/>
        </w:rPr>
        <w:t>E. 3.2</w:t>
      </w:r>
    </w:p>
    <w:p>
      <w:r>
        <w:t>Le maintien en détention ne peut se justifier en raison d’un risque de réitération (art. 221 al. 1 let. c CPP) que si le pronostic est très défavorable et si les délits dont l'autorité redoute la réitération sont graves (ATF 137 IV 84 consid. 4.5, JT 2011 IV 325; ATF 135 I 71 consid. 2.3; ATF 133 I 270 consid. 2.2 et les arrêts cités, JT 2011 IV 3; TF 1B_39/2013 du 14 février 2013 consid. 2.1).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(ATF 123 I 268 consid. 2e).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consid. 4.5). En l’espèce, le casier judiciaire du recourant fait état de quatre condamnations prononcées entre les mois de janvier 2012 et juin 2015 pour des faits similaires. Les peines privatives de liberté subies par le recourant ne l’ont apparemment pas dissuadé de poursuivre son activité délictueuse puisqu’il aurait récidivé à peine quelques jours après sa sortie de détention, intervenue le 2 novembre 2015. En l’état, force est dès lors d’admettre que le risque de récidive doit être considéré comme majeur.</w:t>
      </w:r>
    </w:p>
    <w:p>
      <w:r>
        <w:rPr>
          <w:b/>
        </w:rPr>
        <w:t>E. 3.3</w:t>
      </w:r>
    </w:p>
    <w:p>
      <w:r>
        <w:t>Enfin, aucune mesure de substitution n’est à même, en l’état, de prévenir les risques retenus. Le maintien de S.________ en détention provisoire est ainsi justifié.</w:t>
      </w:r>
    </w:p>
    <w:p>
      <w:r>
        <w:rPr>
          <w:b/>
        </w:rPr>
        <w:t>E. 4.1</w:t>
      </w:r>
    </w:p>
    <w:p>
      <w:r>
        <w:t>Concernant le respect du principe de la proportionnalité (art. 212 al. 3 CPP),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w:t>
      </w:r>
    </w:p>
    <w:p>
      <w:r>
        <w:rPr>
          <w:b/>
        </w:rPr>
        <w:t>E. 4.2</w:t>
      </w:r>
    </w:p>
    <w:p>
      <w:r>
        <w:t>En l’espèce, S.________ est détenu depuis le 4 décembre 2015, soit depuis trois mois et demi. Compte tenu des actes qui lui sont reprochés, le recourant s'expose à une peine privative de liberté d’une durée supérieure à celle de la détention provisoire subie à ce jour. Au vu de ces éléments, le principe de la proportionnalité de la détention provisoire demeure respecté.</w:t>
      </w:r>
    </w:p>
    <w:p>
      <w:r>
        <w:rPr>
          <w:b/>
        </w:rPr>
        <w:t>E. 5</w:t>
      </w:r>
    </w:p>
    <w:p>
      <w:r>
        <w:t>Il résulte de ce qui précède que le recours, manifestement mal fondé, doit être rejeté sans autres échanges d’écritures (art. 390 al. 2 CPP). Les frais de la procédure de recours, constitués en l’espèce de l’émolument d'arrêt, par 880 fr. (art. 20 al. 1 TFIP [tarif des frais judiciaires de procédure et indemnités en matière pénale du 28 septembre 2010; RSV 312.03.1]) et des frais imputables à la défense d’office (art. 422 al. 1 et 2 let. a CPP), fixés à 540 fr., plus la TVA par 43 fr. 20, soit un total de 583 fr. 20, seront mis à la charge de S.________,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3 mars 2016 est confirmée. III. L’indemnité allouée au défenseur d’office de S.________ est fixée à 583 fr. 20 (cinq cent huitante-trois francs et vingt centimes). IV. Les frais d’arrêt, par 880 fr. (huit cent huitante francs), ainsi que l’indemnité due au défenseur d’office de S.________, par 583 fr. 20 (cinq cent huitante-trois francs et vingt centimes, sont mis à la charge de ce dernier. V. Le remboursement à l'Etat de l'indemnité allouée au chiffre III ci-dessus ne sera exigible que pour autant que la situation économique de S.________ se soit améliorée VI. Le présent arrêt est exécutoire. Le président :               La greffière : Du Le présent arrêt, dont la rédaction a été approuvée à huis clos, est notifié, par l'envoi d'une copie complète, à : - Me Quentin Beausire, avocat (pour S.________),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